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119" w:x="1531" w:y="2121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SimHei" w:hAnsi="SimHei" w:cs="SimHei"/>
          <w:color w:val="000000"/>
          <w:spacing w:val="-1"/>
          <w:sz w:val="32"/>
          <w:szCs w:val="22"/>
          <w:lang w:val="en-US" w:eastAsia="en-US" w:bidi="ar-SA"/>
        </w:rPr>
        <w:t>附件</w:t>
      </w:r>
      <w:r>
        <w:rPr>
          <w:rFonts w:hAnsi="Calibri"/>
          <w:color w:val="000000"/>
          <w:spacing w:val="2"/>
          <w:sz w:val="32"/>
          <w:szCs w:val="22"/>
          <w:lang w:val="en-US" w:eastAsia="en-US" w:bidi="ar-SA"/>
        </w:rPr>
        <w:t xml:space="preserve"> </w:t>
      </w:r>
      <w:r>
        <w:rPr>
          <w:rFonts w:ascii="SimHei" w:hAnsi="Calibri"/>
          <w:color w:val="000000"/>
          <w:sz w:val="32"/>
          <w:szCs w:val="22"/>
          <w:lang w:val="en-US" w:eastAsia="en-US" w:bidi="ar-SA"/>
        </w:rPr>
        <w:t>1</w:t>
      </w:r>
    </w:p>
    <w:p>
      <w:pPr>
        <w:framePr w:w="6299" w:x="2972" w:y="3196"/>
        <w:widowControl w:val="0"/>
        <w:autoSpaceDE w:val="0"/>
        <w:autoSpaceDN w:val="0"/>
        <w:spacing w:line="523" w:lineRule="exact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FZXiaoBiaoSong-B05S" w:hAnsi="FZXiaoBiaoSong-B05S" w:cs="FZXiaoBiaoSong-B05S"/>
          <w:color w:val="000000"/>
          <w:sz w:val="42"/>
          <w:szCs w:val="22"/>
          <w:lang w:val="en-US" w:eastAsia="en-US" w:bidi="ar-SA"/>
        </w:rPr>
        <w:t>天门市</w:t>
      </w:r>
      <w:r>
        <w:rPr>
          <w:rFonts w:ascii="JUVNUR+FZXBSK--GBK1-0" w:hAnsi="JUVNUR+FZXBSK--GBK1-0" w:cs="JUVNUR+FZXBSK--GBK1-0"/>
          <w:color w:val="000000"/>
          <w:spacing w:val="40"/>
          <w:sz w:val="44"/>
          <w:szCs w:val="22"/>
          <w:lang w:val="en-US" w:eastAsia="en-US" w:bidi="ar-SA"/>
        </w:rPr>
        <w:t>检验结果互认项目目录</w:t>
      </w:r>
    </w:p>
    <w:p>
      <w:pPr>
        <w:framePr w:w="802" w:x="3036" w:y="4323"/>
        <w:widowControl w:val="0"/>
        <w:autoSpaceDE w:val="0"/>
        <w:autoSpaceDN w:val="0"/>
        <w:spacing w:line="281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 w:val="28"/>
          <w:szCs w:val="22"/>
          <w:lang w:val="en-US" w:eastAsia="en-US" w:bidi="ar-SA"/>
        </w:rPr>
        <w:t>类别</w:t>
      </w:r>
    </w:p>
    <w:p>
      <w:pPr>
        <w:framePr w:w="2489" w:x="6626" w:y="4323"/>
        <w:widowControl w:val="0"/>
        <w:autoSpaceDE w:val="0"/>
        <w:autoSpaceDN w:val="0"/>
        <w:spacing w:line="281" w:lineRule="exact"/>
        <w:rPr>
          <w:rFonts w:hAnsi="Calibri"/>
          <w:color w:val="000000"/>
          <w:sz w:val="28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 w:val="28"/>
          <w:szCs w:val="22"/>
          <w:lang w:val="en-US" w:eastAsia="en-US" w:bidi="ar-SA"/>
        </w:rPr>
        <w:t>项目规范中文名称</w:t>
      </w:r>
    </w:p>
    <w:p>
      <w:pPr>
        <w:framePr w:w="5294" w:x="5225" w:y="498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钾、钠、氯、钙、无机磷酸盐、葡萄糖、尿素、</w:t>
      </w:r>
    </w:p>
    <w:p>
      <w:pPr>
        <w:framePr w:w="5294" w:x="5225" w:y="498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尿酸、肌酐、总蛋白、白蛋白、总胆固醇、甘油</w:t>
      </w:r>
    </w:p>
    <w:p>
      <w:pPr>
        <w:framePr w:w="5294" w:x="5225" w:y="498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3"/>
          <w:szCs w:val="22"/>
          <w:lang w:val="en-US" w:eastAsia="en-US" w:bidi="ar-SA"/>
        </w:rPr>
        <w:t>三酯、丙氨酸氨基转移酶、天冬氨酸氨基转移</w:t>
      </w:r>
    </w:p>
    <w:p>
      <w:pPr>
        <w:framePr w:w="5294" w:x="5225" w:y="498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酶、总胆红素、直接胆红素、碱性磷酸酶、淀粉</w:t>
      </w:r>
    </w:p>
    <w:p>
      <w:pPr>
        <w:framePr w:w="5294" w:x="5225" w:y="4980"/>
        <w:widowControl w:val="0"/>
        <w:autoSpaceDE w:val="0"/>
        <w:autoSpaceDN w:val="0"/>
        <w:spacing w:before="72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4"/>
          <w:szCs w:val="22"/>
          <w:lang w:val="en-US" w:eastAsia="en-US" w:bidi="ar-SA"/>
        </w:rPr>
        <w:t>酶、肌酸激酶、乳酸脱氢酶、</w:t>
      </w:r>
      <w:r>
        <w:rPr>
          <w:rFonts w:ascii="DTNDWH+TimesNewRomanPSMT" w:hAnsi="DTNDWH+TimesNewRomanPSMT" w:cs="DTNDWH+TimesNewRomanPSMT"/>
          <w:color w:val="000000"/>
          <w:szCs w:val="22"/>
          <w:lang w:val="en-US" w:eastAsia="en-US" w:bidi="ar-SA"/>
        </w:rPr>
        <w:t>γ</w:t>
      </w:r>
      <w:r>
        <w:rPr>
          <w:rFonts w:ascii="VNNDWW+FangSong_GB2312" w:hAnsi="VNNDWW+FangSong_GB2312" w:cs="VNNDWW+FangSong_GB2312"/>
          <w:color w:val="000000"/>
          <w:spacing w:val="14"/>
          <w:szCs w:val="22"/>
          <w:lang w:val="en-US" w:eastAsia="en-US" w:bidi="ar-SA"/>
        </w:rPr>
        <w:t>-谷氨酰基转肽</w:t>
      </w:r>
    </w:p>
    <w:p>
      <w:pPr>
        <w:framePr w:w="5294" w:x="5225" w:y="4980"/>
        <w:widowControl w:val="0"/>
        <w:autoSpaceDE w:val="0"/>
        <w:autoSpaceDN w:val="0"/>
        <w:spacing w:before="57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3"/>
          <w:szCs w:val="22"/>
          <w:lang w:val="en-US" w:eastAsia="en-US" w:bidi="ar-SA"/>
        </w:rPr>
        <w:t>酶、铁、总铁结合力、镁、锂、</w:t>
      </w:r>
      <w:r>
        <w:rPr>
          <w:rFonts w:ascii="DTNDWH+TimesNewRomanPSMT" w:hAnsi="DTNDWH+TimesNewRomanPSMT" w:cs="DTNDWH+TimesNewRomanPSMT"/>
          <w:color w:val="000000"/>
          <w:spacing w:val="-1"/>
          <w:szCs w:val="22"/>
          <w:lang w:val="en-US" w:eastAsia="en-US" w:bidi="ar-SA"/>
        </w:rPr>
        <w:t>α</w:t>
      </w:r>
      <w:r>
        <w:rPr>
          <w:rFonts w:ascii="VNNDWW+FangSong_GB2312" w:hAnsi="VNNDWW+FangSong_GB2312" w:cs="VNNDWW+FangSong_GB2312"/>
          <w:color w:val="000000"/>
          <w:spacing w:val="13"/>
          <w:szCs w:val="22"/>
          <w:lang w:val="en-US" w:eastAsia="en-US" w:bidi="ar-SA"/>
        </w:rPr>
        <w:t>-羟丁酸脱氢</w:t>
      </w:r>
    </w:p>
    <w:p>
      <w:pPr>
        <w:framePr w:w="5294" w:x="5225" w:y="4980"/>
        <w:widowControl w:val="0"/>
        <w:autoSpaceDE w:val="0"/>
        <w:autoSpaceDN w:val="0"/>
        <w:spacing w:before="57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酶、胆碱酯酶、脂肪酶、高密度脂蛋白胆固醇、</w:t>
      </w:r>
    </w:p>
    <w:p>
      <w:pPr>
        <w:framePr w:w="5294" w:x="5225" w:y="4980"/>
        <w:widowControl w:val="0"/>
        <w:autoSpaceDE w:val="0"/>
        <w:autoSpaceDN w:val="0"/>
        <w:spacing w:before="72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21"/>
          <w:szCs w:val="22"/>
          <w:lang w:val="en-US" w:eastAsia="en-US" w:bidi="ar-SA"/>
        </w:rPr>
        <w:t>低密度脂蛋白胆固、载脂蛋白</w:t>
      </w:r>
      <w:r>
        <w:rPr>
          <w:rFonts w:hAnsi="Calibri"/>
          <w:color w:val="000000"/>
          <w:spacing w:val="-2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A1</w:t>
      </w:r>
      <w:r>
        <w:rPr>
          <w:rFonts w:ascii="VNNDWW+FangSong_GB2312" w:hAnsi="VNNDWW+FangSong_GB2312" w:cs="VNNDWW+FangSong_GB2312"/>
          <w:color w:val="000000"/>
          <w:spacing w:val="22"/>
          <w:szCs w:val="22"/>
          <w:lang w:val="en-US" w:eastAsia="en-US" w:bidi="ar-SA"/>
        </w:rPr>
        <w:t>、载脂蛋白</w:t>
      </w:r>
    </w:p>
    <w:p>
      <w:pPr>
        <w:framePr w:w="5294" w:x="5225" w:y="4980"/>
        <w:widowControl w:val="0"/>
        <w:autoSpaceDE w:val="0"/>
        <w:autoSpaceDN w:val="0"/>
        <w:spacing w:before="57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DTNDWH+TimesNewRomanPSMT" w:hAnsi="Calibri"/>
          <w:color w:val="000000"/>
          <w:spacing w:val="3"/>
          <w:szCs w:val="22"/>
          <w:lang w:val="en-US" w:eastAsia="en-US" w:bidi="ar-SA"/>
        </w:rPr>
        <w:t>B</w:t>
      </w:r>
      <w:r>
        <w:rPr>
          <w:rFonts w:ascii="VNNDWW+FangSong_GB2312" w:hAnsi="VNNDWW+FangSong_GB2312" w:cs="VNNDWW+FangSong_GB2312"/>
          <w:color w:val="000000"/>
          <w:spacing w:val="5"/>
          <w:szCs w:val="22"/>
          <w:lang w:val="en-US" w:eastAsia="en-US" w:bidi="ar-SA"/>
        </w:rPr>
        <w:t>、三碘甲状原氨酸、甲状腺素、胰岛素、总前</w:t>
      </w:r>
    </w:p>
    <w:p>
      <w:pPr>
        <w:framePr w:w="5294" w:x="5225" w:y="4980"/>
        <w:widowControl w:val="0"/>
        <w:autoSpaceDE w:val="0"/>
        <w:autoSpaceDN w:val="0"/>
        <w:spacing w:before="57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2"/>
          <w:szCs w:val="22"/>
          <w:lang w:val="en-US" w:eastAsia="en-US" w:bidi="ar-SA"/>
        </w:rPr>
        <w:t>列腺特异性抗原、癌胚抗原、甲胎蛋白、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CA19</w:t>
      </w:r>
      <w:r>
        <w:rPr>
          <w:rFonts w:ascii="VNNDWW+FangSong_GB2312" w:hAnsi="Calibri"/>
          <w:color w:val="000000"/>
          <w:szCs w:val="22"/>
          <w:lang w:val="en-US" w:eastAsia="en-US" w:bidi="ar-SA"/>
        </w:rPr>
        <w:t>-</w:t>
      </w:r>
    </w:p>
    <w:p>
      <w:pPr>
        <w:framePr w:w="5294" w:x="5225" w:y="4980"/>
        <w:widowControl w:val="0"/>
        <w:autoSpaceDE w:val="0"/>
        <w:autoSpaceDN w:val="0"/>
        <w:spacing w:before="57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DTNDWH+TimesNewRomanPSMT" w:hAnsi="Calibri"/>
          <w:color w:val="000000"/>
          <w:spacing w:val="2"/>
          <w:szCs w:val="22"/>
          <w:lang w:val="en-US" w:eastAsia="en-US" w:bidi="ar-SA"/>
        </w:rPr>
        <w:t>9</w:t>
      </w:r>
      <w:r>
        <w:rPr>
          <w:rFonts w:ascii="VNNDWW+FangSong_GB2312" w:hAnsi="VNNDWW+FangSong_GB2312" w:cs="VNNDWW+FangSong_GB2312"/>
          <w:color w:val="000000"/>
          <w:spacing w:val="5"/>
          <w:szCs w:val="22"/>
          <w:lang w:val="en-US" w:eastAsia="en-US" w:bidi="ar-SA"/>
        </w:rPr>
        <w:t>、</w:t>
      </w:r>
      <w:r>
        <w:rPr>
          <w:rFonts w:ascii="DTNDWH+TimesNewRomanPSMT" w:hAnsi="Calibri"/>
          <w:color w:val="000000"/>
          <w:spacing w:val="1"/>
          <w:szCs w:val="22"/>
          <w:lang w:val="en-US" w:eastAsia="en-US" w:bidi="ar-SA"/>
        </w:rPr>
        <w:t>CA125</w:t>
      </w:r>
      <w:r>
        <w:rPr>
          <w:rFonts w:ascii="VNNDWW+FangSong_GB2312" w:hAnsi="VNNDWW+FangSong_GB2312" w:cs="VNNDWW+FangSong_GB2312"/>
          <w:color w:val="000000"/>
          <w:spacing w:val="2"/>
          <w:szCs w:val="22"/>
          <w:lang w:val="en-US" w:eastAsia="en-US" w:bidi="ar-SA"/>
        </w:rPr>
        <w:t>、</w:t>
      </w:r>
      <w:r>
        <w:rPr>
          <w:rFonts w:ascii="DTNDWH+TimesNewRomanPSMT" w:hAnsi="Calibri"/>
          <w:color w:val="000000"/>
          <w:spacing w:val="1"/>
          <w:szCs w:val="22"/>
          <w:lang w:val="en-US" w:eastAsia="en-US" w:bidi="ar-SA"/>
        </w:rPr>
        <w:t>CA15</w:t>
      </w:r>
      <w:r>
        <w:rPr>
          <w:rFonts w:ascii="VNNDWW+FangSong_GB2312" w:hAnsi="Calibri"/>
          <w:color w:val="000000"/>
          <w:szCs w:val="22"/>
          <w:lang w:val="en-US" w:eastAsia="en-US" w:bidi="ar-SA"/>
        </w:rPr>
        <w:t>-</w:t>
      </w:r>
      <w:r>
        <w:rPr>
          <w:rFonts w:ascii="DTNDWH+TimesNewRomanPSMT" w:hAnsi="Calibri"/>
          <w:color w:val="000000"/>
          <w:spacing w:val="2"/>
          <w:szCs w:val="22"/>
          <w:lang w:val="en-US" w:eastAsia="en-US" w:bidi="ar-SA"/>
        </w:rPr>
        <w:t>3</w:t>
      </w:r>
      <w:r>
        <w:rPr>
          <w:rFonts w:ascii="VNNDWW+FangSong_GB2312" w:hAnsi="VNNDWW+FangSong_GB2312" w:cs="VNNDWW+FangSong_GB2312"/>
          <w:color w:val="000000"/>
          <w:spacing w:val="4"/>
          <w:szCs w:val="22"/>
          <w:lang w:val="en-US" w:eastAsia="en-US" w:bidi="ar-SA"/>
        </w:rPr>
        <w:t>、铁蛋白、绒毛膜促性腺激</w:t>
      </w:r>
    </w:p>
    <w:p>
      <w:pPr>
        <w:framePr w:w="5294" w:x="5225" w:y="4980"/>
        <w:widowControl w:val="0"/>
        <w:autoSpaceDE w:val="0"/>
        <w:autoSpaceDN w:val="0"/>
        <w:spacing w:before="57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27"/>
          <w:szCs w:val="22"/>
          <w:lang w:val="en-US" w:eastAsia="en-US" w:bidi="ar-SA"/>
        </w:rPr>
        <w:t>素、游离前列腺特异性抗原、糖化血红蛋白</w:t>
      </w:r>
    </w:p>
    <w:p>
      <w:pPr>
        <w:framePr w:w="5294" w:x="5225" w:y="4980"/>
        <w:widowControl w:val="0"/>
        <w:autoSpaceDE w:val="0"/>
        <w:autoSpaceDN w:val="0"/>
        <w:spacing w:before="72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Calibri"/>
          <w:color w:val="000000"/>
          <w:szCs w:val="22"/>
          <w:lang w:val="en-US" w:eastAsia="en-US" w:bidi="ar-SA"/>
        </w:rPr>
        <w:t>(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HbA1c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)、同型半胱氨酸</w:t>
      </w:r>
    </w:p>
    <w:p>
      <w:pPr>
        <w:framePr w:w="2940" w:x="1968" w:y="6852"/>
        <w:widowControl w:val="0"/>
        <w:autoSpaceDE w:val="0"/>
        <w:autoSpaceDN w:val="0"/>
        <w:spacing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临床化学检验类（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47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项）</w:t>
      </w:r>
    </w:p>
    <w:p>
      <w:pPr>
        <w:framePr w:w="5294" w:x="5225" w:y="912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白细胞计数、红细胞计数、血红蛋白测定、血细</w:t>
      </w:r>
    </w:p>
    <w:p>
      <w:pPr>
        <w:framePr w:w="5294" w:x="5225" w:y="912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胞比容、血小板计数、平均红细胞体积、平均红</w:t>
      </w:r>
    </w:p>
    <w:p>
      <w:pPr>
        <w:framePr w:w="5294" w:x="5225" w:y="912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细胞血红蛋白含量、平均红细胞血红蛋白浓度、</w:t>
      </w:r>
    </w:p>
    <w:p>
      <w:pPr>
        <w:framePr w:w="5294" w:x="5225" w:y="912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凝血酶原时间测定、凝血酶时间、活化部分凝血</w:t>
      </w:r>
    </w:p>
    <w:p>
      <w:pPr>
        <w:framePr w:w="5294" w:x="5225" w:y="912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活酶时间、纤维蛋白原测定、国际标准化比值、</w:t>
      </w:r>
    </w:p>
    <w:p>
      <w:pPr>
        <w:framePr w:w="5294" w:x="5225" w:y="9120"/>
        <w:widowControl w:val="0"/>
        <w:autoSpaceDE w:val="0"/>
        <w:autoSpaceDN w:val="0"/>
        <w:spacing w:before="72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DTNDWH+TimesNewRomanPSMT" w:hAnsi="Calibri"/>
          <w:color w:val="000000"/>
          <w:spacing w:val="-1"/>
          <w:szCs w:val="22"/>
          <w:lang w:val="en-US" w:eastAsia="en-US" w:bidi="ar-SA"/>
        </w:rPr>
        <w:t>ABO</w:t>
      </w:r>
      <w:r>
        <w:rPr>
          <w:rFonts w:hAnsi="Calibri"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血型鉴定、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Rh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（</w:t>
      </w:r>
      <w:r>
        <w:rPr>
          <w:rFonts w:ascii="DTNDWH+TimesNewRomanPSMT" w:hAnsi="Calibri"/>
          <w:color w:val="000000"/>
          <w:spacing w:val="2"/>
          <w:szCs w:val="22"/>
          <w:lang w:val="en-US" w:eastAsia="en-US" w:bidi="ar-SA"/>
        </w:rPr>
        <w:t>D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）血型鉴定</w:t>
      </w:r>
    </w:p>
    <w:p>
      <w:pPr>
        <w:framePr w:w="3420" w:x="1728" w:y="9900"/>
        <w:widowControl w:val="0"/>
        <w:autoSpaceDE w:val="0"/>
        <w:autoSpaceDN w:val="0"/>
        <w:spacing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临床血液体液检验类（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15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项）</w:t>
      </w:r>
    </w:p>
    <w:p>
      <w:pPr>
        <w:framePr w:w="5297" w:x="5225" w:y="1104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乙型肝炎病毒表面抗原、抗乙型肝炎病毒表面抗</w:t>
      </w:r>
    </w:p>
    <w:p>
      <w:pPr>
        <w:framePr w:w="5297" w:x="5225" w:y="11040"/>
        <w:widowControl w:val="0"/>
        <w:autoSpaceDE w:val="0"/>
        <w:autoSpaceDN w:val="0"/>
        <w:spacing w:before="72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2"/>
          <w:szCs w:val="22"/>
          <w:lang w:val="en-US" w:eastAsia="en-US" w:bidi="ar-SA"/>
        </w:rPr>
        <w:t>体、乙型肝炎病毒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e</w:t>
      </w:r>
      <w:r>
        <w:rPr>
          <w:rFonts w:hAnsi="Calibri"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pacing w:val="2"/>
          <w:szCs w:val="22"/>
          <w:lang w:val="en-US" w:eastAsia="en-US" w:bidi="ar-SA"/>
        </w:rPr>
        <w:t>抗原、抗乙型肝炎病毒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e</w:t>
      </w:r>
      <w:r>
        <w:rPr>
          <w:rFonts w:hAnsi="Calibri"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抗</w:t>
      </w:r>
    </w:p>
    <w:p>
      <w:pPr>
        <w:framePr w:w="5297" w:x="5225" w:y="11040"/>
        <w:widowControl w:val="0"/>
        <w:autoSpaceDE w:val="0"/>
        <w:autoSpaceDN w:val="0"/>
        <w:spacing w:before="57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体、抗乙型肝炎病毒核心抗体、抗丙型肝炎病毒</w:t>
      </w:r>
    </w:p>
    <w:p>
      <w:pPr>
        <w:framePr w:w="5297" w:x="5225" w:y="1104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抗体、抗人免疫缺陷病毒抗体、抗梅毒螺旋体抗</w:t>
      </w:r>
    </w:p>
    <w:p>
      <w:pPr>
        <w:framePr w:w="5297" w:x="5225" w:y="11040"/>
        <w:widowControl w:val="0"/>
        <w:autoSpaceDE w:val="0"/>
        <w:autoSpaceDN w:val="0"/>
        <w:spacing w:before="72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体、抗梅毒螺旋体非特异性抗体、抗甲型肝炎病</w:t>
      </w:r>
    </w:p>
    <w:p>
      <w:pPr>
        <w:framePr w:w="5297" w:x="5225" w:y="11040"/>
        <w:widowControl w:val="0"/>
        <w:autoSpaceDE w:val="0"/>
        <w:autoSpaceDN w:val="0"/>
        <w:spacing w:before="72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毒抗体</w:t>
      </w:r>
      <w:r>
        <w:rPr>
          <w:rFonts w:hAnsi="Calibri"/>
          <w:color w:val="000000"/>
          <w:spacing w:val="-1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IgM</w:t>
      </w: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、新冠病毒</w:t>
      </w:r>
      <w:r>
        <w:rPr>
          <w:rFonts w:hAnsi="Calibri"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pacing w:val="-2"/>
          <w:szCs w:val="22"/>
          <w:lang w:val="en-US" w:eastAsia="en-US" w:bidi="ar-SA"/>
        </w:rPr>
        <w:t>IgM</w:t>
      </w:r>
      <w:r>
        <w:rPr>
          <w:rFonts w:hAnsi="Calibri"/>
          <w:color w:val="000000"/>
          <w:spacing w:val="4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pacing w:val="1"/>
          <w:szCs w:val="22"/>
          <w:lang w:val="en-US" w:eastAsia="en-US" w:bidi="ar-SA"/>
        </w:rPr>
        <w:t>抗体、新冠病毒</w:t>
      </w:r>
      <w:r>
        <w:rPr>
          <w:rFonts w:hAnsi="Calibri"/>
          <w:color w:val="000000"/>
          <w:spacing w:val="1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IgG</w:t>
      </w:r>
    </w:p>
    <w:p>
      <w:pPr>
        <w:framePr w:w="5297" w:x="5225" w:y="11040"/>
        <w:widowControl w:val="0"/>
        <w:autoSpaceDE w:val="0"/>
        <w:autoSpaceDN w:val="0"/>
        <w:spacing w:before="57"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抗体</w:t>
      </w:r>
    </w:p>
    <w:p>
      <w:pPr>
        <w:framePr w:w="3300" w:x="1788" w:y="11976"/>
        <w:widowControl w:val="0"/>
        <w:autoSpaceDE w:val="0"/>
        <w:autoSpaceDN w:val="0"/>
        <w:spacing w:line="250" w:lineRule="exact"/>
        <w:ind w:left="60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临床免疫学检验类（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12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项）</w:t>
      </w:r>
    </w:p>
    <w:p>
      <w:pPr>
        <w:framePr w:w="3300" w:x="1788" w:y="11976"/>
        <w:widowControl w:val="0"/>
        <w:autoSpaceDE w:val="0"/>
        <w:autoSpaceDN w:val="0"/>
        <w:spacing w:before="1158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临床微生物学检验类（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2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项）</w:t>
      </w:r>
    </w:p>
    <w:p>
      <w:pPr>
        <w:framePr w:w="2880" w:x="5225" w:y="13390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细菌鉴定、细菌药敏试验</w:t>
      </w:r>
    </w:p>
    <w:p>
      <w:pPr>
        <w:framePr w:w="8851" w:x="1668" w:y="13932"/>
        <w:widowControl w:val="0"/>
        <w:autoSpaceDE w:val="0"/>
        <w:autoSpaceDN w:val="0"/>
        <w:spacing w:line="250" w:lineRule="exact"/>
        <w:ind w:left="3557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pacing w:val="23"/>
          <w:szCs w:val="22"/>
          <w:lang w:val="en-US" w:eastAsia="en-US" w:bidi="ar-SA"/>
        </w:rPr>
        <w:t>乙型肝炎病毒核酸</w:t>
      </w:r>
      <w:r>
        <w:rPr>
          <w:rFonts w:hAnsi="Calibri"/>
          <w:color w:val="000000"/>
          <w:spacing w:val="-2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DNA</w:t>
      </w:r>
      <w:r>
        <w:rPr>
          <w:rFonts w:ascii="VNNDWW+FangSong_GB2312" w:hAnsi="VNNDWW+FangSong_GB2312" w:cs="VNNDWW+FangSong_GB2312"/>
          <w:color w:val="000000"/>
          <w:spacing w:val="23"/>
          <w:szCs w:val="22"/>
          <w:lang w:val="en-US" w:eastAsia="en-US" w:bidi="ar-SA"/>
        </w:rPr>
        <w:t>、丙型肝炎病毒核酸</w:t>
      </w:r>
    </w:p>
    <w:p>
      <w:pPr>
        <w:framePr w:w="8851" w:x="1668" w:y="13932"/>
        <w:widowControl w:val="0"/>
        <w:autoSpaceDE w:val="0"/>
        <w:autoSpaceDN w:val="0"/>
        <w:spacing w:before="57" w:line="25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临床分子生物学检验类（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6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项）</w:t>
      </w:r>
      <w:r>
        <w:rPr>
          <w:rFonts w:hAnsi="Calibri"/>
          <w:color w:val="000000"/>
          <w:spacing w:val="197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pacing w:val="1"/>
          <w:szCs w:val="22"/>
          <w:lang w:val="en-US" w:eastAsia="en-US" w:bidi="ar-SA"/>
        </w:rPr>
        <w:t>RNA</w:t>
      </w:r>
      <w:r>
        <w:rPr>
          <w:rFonts w:ascii="VNNDWW+FangSong_GB2312" w:hAnsi="VNNDWW+FangSong_GB2312" w:cs="VNNDWW+FangSong_GB2312"/>
          <w:color w:val="000000"/>
          <w:spacing w:val="5"/>
          <w:szCs w:val="22"/>
          <w:lang w:val="en-US" w:eastAsia="en-US" w:bidi="ar-SA"/>
        </w:rPr>
        <w:t>、新冠病毒</w:t>
      </w:r>
      <w:r>
        <w:rPr>
          <w:rFonts w:hAnsi="Calibri"/>
          <w:color w:val="000000"/>
          <w:szCs w:val="22"/>
          <w:lang w:val="en-US" w:eastAsia="en-US" w:bidi="ar-SA"/>
        </w:rPr>
        <w:t xml:space="preserve"> </w:t>
      </w:r>
      <w:r>
        <w:rPr>
          <w:rFonts w:ascii="DTNDWH+TimesNewRomanPSMT" w:hAnsi="Calibri"/>
          <w:color w:val="000000"/>
          <w:szCs w:val="22"/>
          <w:lang w:val="en-US" w:eastAsia="en-US" w:bidi="ar-SA"/>
        </w:rPr>
        <w:t>RNA</w:t>
      </w:r>
      <w:r>
        <w:rPr>
          <w:rFonts w:hAnsi="Calibri"/>
          <w:color w:val="000000"/>
          <w:spacing w:val="4"/>
          <w:szCs w:val="22"/>
          <w:lang w:val="en-US" w:eastAsia="en-US" w:bidi="ar-SA"/>
        </w:rPr>
        <w:t xml:space="preserve"> </w:t>
      </w:r>
      <w:r>
        <w:rPr>
          <w:rFonts w:ascii="VNNDWW+FangSong_GB2312" w:hAnsi="VNNDWW+FangSong_GB2312" w:cs="VNNDWW+FangSong_GB2312"/>
          <w:color w:val="000000"/>
          <w:spacing w:val="5"/>
          <w:szCs w:val="22"/>
          <w:lang w:val="en-US" w:eastAsia="en-US" w:bidi="ar-SA"/>
        </w:rPr>
        <w:t>检测、沙眼衣原体核酸、</w:t>
      </w:r>
    </w:p>
    <w:p>
      <w:pPr>
        <w:framePr w:w="8851" w:x="1668" w:y="13932"/>
        <w:widowControl w:val="0"/>
        <w:autoSpaceDE w:val="0"/>
        <w:autoSpaceDN w:val="0"/>
        <w:spacing w:before="57" w:line="240" w:lineRule="exact"/>
        <w:ind w:left="3557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VNNDWW+FangSong_GB2312" w:hAnsi="VNNDWW+FangSong_GB2312" w:cs="VNNDWW+FangSong_GB2312"/>
          <w:color w:val="000000"/>
          <w:szCs w:val="22"/>
          <w:lang w:val="en-US" w:eastAsia="en-US" w:bidi="ar-SA"/>
        </w:rPr>
        <w:t>解脲支原体核酸、淋球菌核酸</w:t>
      </w:r>
    </w:p>
    <w:p>
      <w:pPr>
        <w:framePr w:w="600" w:x="1633" w:y="15777"/>
        <w:widowControl w:val="0"/>
        <w:autoSpaceDE w:val="0"/>
        <w:autoSpaceDN w:val="0"/>
        <w:spacing w:line="240" w:lineRule="exact"/>
        <w:rPr>
          <w:rFonts w:hAnsi="Calibri"/>
          <w:color w:val="000000"/>
          <w:szCs w:val="22"/>
          <w:lang w:val="en-US" w:eastAsia="en-US" w:bidi="ar-SA"/>
        </w:rPr>
      </w:pPr>
      <w:r>
        <w:rPr>
          <w:rFonts w:ascii="SimSun" w:hAnsi="Calibri"/>
          <w:color w:val="000000"/>
          <w:szCs w:val="22"/>
          <w:lang w:val="en-US" w:eastAsia="en-US" w:bidi="ar-SA"/>
        </w:rPr>
        <w:t>-8-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46.65pt;height:540.95pt;margin-top:206.1pt;margin-left:74.7pt;mso-position-horizontal-relative:page;mso-position-vertical-relative:page;position:absolute;z-index:-251658240">
            <v:imagedata r:id="rId4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1" w:csb1="01010101"/>
  </w:font>
  <w:font w:name="SimHei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FZXiaoBiaoSong-B05S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JUVNUR+FZXBSK--GBK1-0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VNNDWW+FangSong_GB2312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DTNDWH+TimesNewRomanPSMT">
    <w:panose1 w:val="02000500000000000000"/>
    <w:charset w:val="01"/>
    <w:family w:val="auto"/>
    <w:pitch w:val="variable"/>
    <w:sig w:usb0="01010101" w:usb1="01010101" w:usb2="01010101" w:usb3="01010101" w:csb0="01010101" w:csb1="01010101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