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436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sz w:val="44"/>
          <w:szCs w:val="44"/>
        </w:rPr>
      </w:pPr>
      <w:r>
        <w:rPr>
          <w:rFonts w:hint="eastAsia" w:ascii="黑体" w:hAnsi="黑体" w:eastAsia="黑体" w:cs="黑体"/>
          <w:b w:val="0"/>
          <w:bCs/>
          <w:kern w:val="1"/>
          <w:sz w:val="44"/>
          <w:szCs w:val="44"/>
        </w:rPr>
        <w:t>天门市</w:t>
      </w:r>
      <w:r>
        <w:rPr>
          <w:rFonts w:hint="eastAsia" w:ascii="黑体" w:hAnsi="黑体" w:eastAsia="黑体" w:cs="黑体"/>
          <w:b w:val="0"/>
          <w:bCs/>
          <w:kern w:val="1"/>
          <w:sz w:val="44"/>
          <w:szCs w:val="44"/>
          <w:lang w:eastAsia="zh-CN"/>
        </w:rPr>
        <w:t>物业管理所</w:t>
      </w:r>
      <w:r>
        <w:rPr>
          <w:rFonts w:hint="eastAsia" w:ascii="黑体" w:hAnsi="黑体" w:eastAsia="黑体" w:cs="黑体"/>
          <w:b w:val="0"/>
          <w:bCs/>
          <w:kern w:val="1"/>
          <w:sz w:val="44"/>
          <w:szCs w:val="44"/>
        </w:rPr>
        <w:t>202</w:t>
      </w:r>
      <w:r>
        <w:rPr>
          <w:rFonts w:hint="eastAsia" w:ascii="黑体" w:hAnsi="黑体" w:eastAsia="黑体" w:cs="黑体"/>
          <w:b w:val="0"/>
          <w:bCs/>
          <w:kern w:val="1"/>
          <w:sz w:val="44"/>
          <w:szCs w:val="44"/>
          <w:lang w:val="en-US" w:eastAsia="zh-CN"/>
        </w:rPr>
        <w:t>6</w:t>
      </w:r>
      <w:r>
        <w:rPr>
          <w:rFonts w:hint="eastAsia" w:ascii="黑体" w:hAnsi="黑体" w:eastAsia="黑体" w:cs="黑体"/>
          <w:b w:val="0"/>
          <w:bCs/>
          <w:kern w:val="1"/>
          <w:sz w:val="44"/>
          <w:szCs w:val="44"/>
        </w:rPr>
        <w:t>年部门预算公开</w:t>
      </w:r>
    </w:p>
    <w:p w14:paraId="0A0648B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rPr>
      </w:pPr>
    </w:p>
    <w:p w14:paraId="50F6D700">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hint="eastAsia" w:ascii="黑体" w:hAnsi="黑体" w:eastAsia="黑体" w:cs="黑体"/>
          <w:b/>
          <w:kern w:val="1"/>
          <w:sz w:val="32"/>
          <w:szCs w:val="32"/>
        </w:rPr>
      </w:pPr>
      <w:r>
        <w:rPr>
          <w:rFonts w:hint="eastAsia" w:ascii="黑体" w:hAnsi="黑体" w:eastAsia="黑体" w:cs="黑体"/>
          <w:b/>
          <w:kern w:val="1"/>
          <w:sz w:val="32"/>
          <w:szCs w:val="32"/>
        </w:rPr>
        <w:t>目　录</w:t>
      </w:r>
    </w:p>
    <w:p w14:paraId="0E0E2FD5">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第一部分　部门概况</w:t>
      </w:r>
    </w:p>
    <w:p w14:paraId="23F17C7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w:t>
      </w:r>
      <w:r>
        <w:rPr>
          <w:rFonts w:hint="eastAsia" w:ascii="宋体" w:hAnsi="宋体" w:eastAsia="宋体"/>
          <w:color w:val="000000" w:themeColor="text1"/>
          <w:sz w:val="28"/>
          <w:szCs w:val="28"/>
          <w:shd w:val="clear" w:color="auto" w:fill="FFFFFF"/>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主要职责及机构设置情况</w:t>
      </w:r>
    </w:p>
    <w:p w14:paraId="59443BD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二、部门预算单位构成</w:t>
      </w:r>
    </w:p>
    <w:p w14:paraId="4C9B51C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三、人员构成</w:t>
      </w:r>
    </w:p>
    <w:p w14:paraId="42127FE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第二部分　202</w:t>
      </w:r>
      <w:r>
        <w:rPr>
          <w:rFonts w:hint="eastAsia" w:ascii="宋体" w:hAnsi="宋体" w:eastAsia="宋体" w:cs="宋体"/>
          <w:b/>
          <w:kern w:val="1"/>
          <w:sz w:val="28"/>
          <w:szCs w:val="28"/>
          <w:lang w:val="en-US" w:eastAsia="zh-CN"/>
        </w:rPr>
        <w:t>6</w:t>
      </w:r>
      <w:r>
        <w:rPr>
          <w:rFonts w:hint="eastAsia" w:ascii="宋体" w:hAnsi="宋体" w:eastAsia="宋体" w:cs="宋体"/>
          <w:b/>
          <w:kern w:val="1"/>
          <w:sz w:val="28"/>
          <w:szCs w:val="28"/>
        </w:rPr>
        <w:t>年部门预算编制情况说明</w:t>
      </w:r>
    </w:p>
    <w:p w14:paraId="6C59DC2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一、预算收支安排及增减变化情况</w:t>
      </w:r>
    </w:p>
    <w:p w14:paraId="2CC0DA5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二、机关运行经费预算安排及增减变化情况</w:t>
      </w:r>
    </w:p>
    <w:p w14:paraId="11082E0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三、“三公”经费预算安排情况及增减变化情况</w:t>
      </w:r>
    </w:p>
    <w:p w14:paraId="742CFEE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四、政府采购预算安排情况</w:t>
      </w:r>
    </w:p>
    <w:p w14:paraId="020BE4B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五、国有资产占用情况</w:t>
      </w:r>
    </w:p>
    <w:p w14:paraId="3B301F3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六、重点项目预算的绩效目标等预算绩效情况说明</w:t>
      </w:r>
    </w:p>
    <w:p w14:paraId="766225B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第三部分　202</w:t>
      </w:r>
      <w:r>
        <w:rPr>
          <w:rFonts w:hint="eastAsia" w:ascii="宋体" w:hAnsi="宋体" w:eastAsia="宋体" w:cs="宋体"/>
          <w:b/>
          <w:kern w:val="1"/>
          <w:sz w:val="28"/>
          <w:szCs w:val="28"/>
          <w:lang w:val="en-US" w:eastAsia="zh-CN"/>
        </w:rPr>
        <w:t>6</w:t>
      </w:r>
      <w:r>
        <w:rPr>
          <w:rFonts w:hint="eastAsia" w:ascii="宋体" w:hAnsi="宋体" w:eastAsia="宋体" w:cs="宋体"/>
          <w:b/>
          <w:kern w:val="1"/>
          <w:sz w:val="28"/>
          <w:szCs w:val="28"/>
        </w:rPr>
        <w:t>年部门预算公开收支表</w:t>
      </w:r>
    </w:p>
    <w:p w14:paraId="0CE7020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一、部门收支总表</w:t>
      </w:r>
    </w:p>
    <w:p w14:paraId="491B546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二、部门收入总表</w:t>
      </w:r>
    </w:p>
    <w:p w14:paraId="1A4F7C9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三、部门支出总表</w:t>
      </w:r>
    </w:p>
    <w:p w14:paraId="147E8FB4">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四、财政拨款收支总表</w:t>
      </w:r>
    </w:p>
    <w:p w14:paraId="71974A0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五、一般公共预算支出表</w:t>
      </w:r>
    </w:p>
    <w:p w14:paraId="5299954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六、一般公共预算基本支出表</w:t>
      </w:r>
    </w:p>
    <w:p w14:paraId="128E845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七、一般公共预算“三公”经费支出表</w:t>
      </w:r>
    </w:p>
    <w:p w14:paraId="308BFDC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八、政府性基金预算支出表</w:t>
      </w:r>
    </w:p>
    <w:p w14:paraId="06FC692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default" w:ascii="宋体" w:hAnsi="宋体" w:eastAsia="宋体" w:cs="宋体"/>
          <w:color w:val="000000" w:themeColor="text1"/>
          <w:kern w:val="1"/>
          <w:sz w:val="28"/>
          <w:szCs w:val="28"/>
          <w:lang w:val="en-US"/>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九、项目支出表</w:t>
      </w:r>
    </w:p>
    <w:p w14:paraId="753FFD3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val="en-US" w:eastAsia="zh-CN"/>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十、国有资本经营预算支出表</w:t>
      </w:r>
    </w:p>
    <w:p w14:paraId="6929AB6E">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第四部分　名词解释</w:t>
      </w:r>
    </w:p>
    <w:p w14:paraId="1C58187C">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79AA7894">
      <w:pPr>
        <w:keepNext w:val="0"/>
        <w:keepLines w:val="0"/>
        <w:pageBreakBefore w:val="0"/>
        <w:widowControl/>
        <w:numPr>
          <w:ilvl w:val="0"/>
          <w:numId w:val="1"/>
        </w:numPr>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lang w:eastAsia="zh-CN"/>
        </w:rPr>
        <w:t>天门市物业管理所</w:t>
      </w:r>
      <w:r>
        <w:rPr>
          <w:rFonts w:hint="eastAsia" w:ascii="宋体" w:hAnsi="宋体" w:eastAsia="宋体"/>
          <w:b/>
          <w:color w:val="333333"/>
          <w:sz w:val="28"/>
          <w:szCs w:val="28"/>
          <w:shd w:val="clear" w:color="auto" w:fill="FFFFFF"/>
        </w:rPr>
        <w:t>概况</w:t>
      </w:r>
    </w:p>
    <w:p w14:paraId="5E804E56">
      <w:pPr>
        <w:keepNext w:val="0"/>
        <w:keepLines w:val="0"/>
        <w:pageBreakBefore w:val="0"/>
        <w:widowControl/>
        <w:numPr>
          <w:ilvl w:val="0"/>
          <w:numId w:val="0"/>
        </w:numPr>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lang w:val="en-US" w:eastAsia="zh-CN"/>
        </w:rPr>
      </w:pPr>
    </w:p>
    <w:p w14:paraId="61A8FB32">
      <w:pPr>
        <w:keepNext w:val="0"/>
        <w:keepLines w:val="0"/>
        <w:pageBreakBefore w:val="0"/>
        <w:widowControl/>
        <w:shd w:val="clear" w:color="auto" w:fill="FFFFFF"/>
        <w:kinsoku/>
        <w:wordWrap/>
        <w:overflowPunct/>
        <w:topLinePunct w:val="0"/>
        <w:autoSpaceDE/>
        <w:autoSpaceDN/>
        <w:bidi w:val="0"/>
        <w:adjustRightInd/>
        <w:spacing w:line="480" w:lineRule="auto"/>
        <w:ind w:firstLine="560" w:firstLineChars="200"/>
        <w:jc w:val="left"/>
        <w:textAlignment w:val="auto"/>
        <w:rPr>
          <w:rFonts w:hint="eastAsia" w:ascii="宋体" w:hAnsi="宋体" w:eastAsia="宋体" w:cs="宋体"/>
          <w:color w:val="333333"/>
          <w:sz w:val="28"/>
          <w:szCs w:val="28"/>
          <w:shd w:val="clear" w:color="auto" w:fill="FFFFFF"/>
        </w:rPr>
      </w:pPr>
      <w:r>
        <w:rPr>
          <w:rFonts w:hint="eastAsia" w:ascii="宋体" w:hAnsi="宋体" w:eastAsia="宋体" w:cs="宋体"/>
          <w:color w:val="333333"/>
          <w:sz w:val="28"/>
          <w:szCs w:val="28"/>
          <w:shd w:val="clear" w:color="auto" w:fill="FFFFFF"/>
          <w:lang w:val="en-US" w:eastAsia="zh-CN"/>
        </w:rPr>
        <w:t>一、</w:t>
      </w:r>
      <w:r>
        <w:rPr>
          <w:rFonts w:hint="eastAsia" w:ascii="宋体" w:hAnsi="宋体" w:eastAsia="宋体" w:cs="宋体"/>
          <w:color w:val="333333"/>
          <w:sz w:val="28"/>
          <w:szCs w:val="28"/>
          <w:shd w:val="clear" w:color="auto" w:fill="FFFFFF"/>
        </w:rPr>
        <w:t>主要职责及机构设置情况</w:t>
      </w:r>
    </w:p>
    <w:p w14:paraId="3501E107">
      <w:pPr>
        <w:widowControl/>
        <w:numPr>
          <w:ilvl w:val="0"/>
          <w:numId w:val="2"/>
        </w:numPr>
        <w:shd w:val="clear" w:color="auto" w:fill="FFFFFF"/>
        <w:spacing w:line="480" w:lineRule="auto"/>
        <w:ind w:left="160" w:leftChars="0" w:firstLine="280" w:firstLineChars="100"/>
        <w:jc w:val="left"/>
        <w:rPr>
          <w:rFonts w:hint="eastAsia" w:ascii="宋体" w:hAnsi="宋体" w:eastAsia="宋体" w:cs="宋体"/>
          <w:kern w:val="1"/>
          <w:sz w:val="28"/>
          <w:szCs w:val="28"/>
        </w:rPr>
      </w:pPr>
      <w:r>
        <w:rPr>
          <w:rFonts w:hint="eastAsia" w:ascii="宋体" w:hAnsi="宋体" w:eastAsia="宋体" w:cs="宋体"/>
          <w:kern w:val="1"/>
          <w:sz w:val="28"/>
          <w:szCs w:val="28"/>
        </w:rPr>
        <w:t>主要职责</w:t>
      </w:r>
    </w:p>
    <w:p w14:paraId="651BFB76">
      <w:pPr>
        <w:widowControl/>
        <w:numPr>
          <w:ilvl w:val="0"/>
          <w:numId w:val="0"/>
        </w:numPr>
        <w:shd w:val="clear" w:color="auto" w:fill="FFFFFF"/>
        <w:spacing w:line="480" w:lineRule="auto"/>
        <w:ind w:firstLine="560" w:firstLineChars="200"/>
        <w:jc w:val="left"/>
        <w:rPr>
          <w:rFonts w:hint="eastAsia" w:ascii="宋体" w:hAnsi="宋体" w:eastAsia="宋体" w:cs="宋体"/>
          <w:kern w:val="1"/>
          <w:sz w:val="28"/>
          <w:szCs w:val="28"/>
        </w:rPr>
      </w:pPr>
      <w:r>
        <w:rPr>
          <w:rFonts w:hint="eastAsia" w:ascii="宋体" w:hAnsi="宋体" w:eastAsia="宋体" w:cs="宋体"/>
          <w:kern w:val="1"/>
          <w:sz w:val="28"/>
          <w:szCs w:val="28"/>
          <w:lang w:val="en-US" w:eastAsia="zh-CN"/>
        </w:rPr>
        <w:t>负责指导全市物业服务企业的物业管理工作，协调有关物业管理的信访投诉、矛盾纠纷调处等</w:t>
      </w:r>
      <w:r>
        <w:rPr>
          <w:rFonts w:hint="eastAsia" w:ascii="宋体" w:hAnsi="宋体" w:eastAsia="宋体" w:cs="宋体"/>
          <w:kern w:val="1"/>
          <w:sz w:val="28"/>
          <w:szCs w:val="28"/>
        </w:rPr>
        <w:t>。</w:t>
      </w:r>
    </w:p>
    <w:p w14:paraId="2A0D4E09">
      <w:pPr>
        <w:widowControl/>
        <w:shd w:val="clear" w:color="auto" w:fill="FFFFFF"/>
        <w:spacing w:line="480" w:lineRule="auto"/>
        <w:ind w:firstLine="560" w:firstLineChars="200"/>
        <w:jc w:val="left"/>
        <w:rPr>
          <w:rFonts w:hint="eastAsia" w:ascii="宋体" w:hAnsi="宋体" w:eastAsia="宋体" w:cs="宋体"/>
          <w:kern w:val="1"/>
          <w:sz w:val="28"/>
          <w:szCs w:val="28"/>
        </w:rPr>
      </w:pPr>
      <w:r>
        <w:rPr>
          <w:rFonts w:hint="eastAsia" w:ascii="宋体" w:hAnsi="宋体" w:eastAsia="宋体" w:cs="宋体"/>
          <w:kern w:val="1"/>
          <w:sz w:val="28"/>
          <w:szCs w:val="28"/>
        </w:rPr>
        <w:t>（二）机构设置情况</w:t>
      </w:r>
    </w:p>
    <w:p w14:paraId="10389D0D">
      <w:pPr>
        <w:widowControl/>
        <w:shd w:val="clear" w:color="auto" w:fill="FFFFFF"/>
        <w:spacing w:line="480" w:lineRule="auto"/>
        <w:ind w:firstLine="560" w:firstLineChars="200"/>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t>天门市物业管理所</w:t>
      </w:r>
      <w:r>
        <w:rPr>
          <w:rFonts w:hint="eastAsia" w:ascii="宋体" w:hAnsi="宋体" w:eastAsia="宋体" w:cs="宋体"/>
          <w:kern w:val="1"/>
          <w:sz w:val="28"/>
          <w:szCs w:val="28"/>
        </w:rPr>
        <w:t>内设科室</w:t>
      </w:r>
      <w:r>
        <w:rPr>
          <w:rFonts w:hint="eastAsia" w:ascii="宋体" w:hAnsi="宋体" w:eastAsia="宋体" w:cs="宋体"/>
          <w:kern w:val="1"/>
          <w:sz w:val="28"/>
          <w:szCs w:val="28"/>
          <w:lang w:val="en-US" w:eastAsia="zh-CN"/>
        </w:rPr>
        <w:t>3</w:t>
      </w:r>
      <w:r>
        <w:rPr>
          <w:rFonts w:hint="eastAsia" w:ascii="宋体" w:hAnsi="宋体" w:eastAsia="宋体" w:cs="宋体"/>
          <w:kern w:val="1"/>
          <w:sz w:val="28"/>
          <w:szCs w:val="28"/>
        </w:rPr>
        <w:t>个，包括：</w:t>
      </w:r>
      <w:r>
        <w:rPr>
          <w:rFonts w:hint="eastAsia" w:ascii="宋体" w:hAnsi="宋体" w:eastAsia="宋体" w:cs="宋体"/>
          <w:kern w:val="1"/>
          <w:sz w:val="28"/>
          <w:szCs w:val="28"/>
          <w:lang w:eastAsia="zh-CN"/>
        </w:rPr>
        <w:t>综合科、业务科、巡查科</w:t>
      </w:r>
      <w:r>
        <w:rPr>
          <w:rFonts w:hint="eastAsia" w:ascii="宋体" w:hAnsi="宋体" w:eastAsia="宋体" w:cs="宋体"/>
          <w:kern w:val="1"/>
          <w:sz w:val="28"/>
          <w:szCs w:val="28"/>
        </w:rPr>
        <w:t>。</w:t>
      </w:r>
    </w:p>
    <w:p w14:paraId="178B39F8">
      <w:pPr>
        <w:widowControl/>
        <w:numPr>
          <w:ilvl w:val="0"/>
          <w:numId w:val="0"/>
        </w:numPr>
        <w:shd w:val="clear" w:color="auto" w:fill="FFFFFF"/>
        <w:spacing w:line="600" w:lineRule="auto"/>
        <w:ind w:firstLine="560" w:firstLineChars="200"/>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t>二、</w:t>
      </w:r>
      <w:r>
        <w:rPr>
          <w:rFonts w:hint="eastAsia" w:ascii="宋体" w:hAnsi="宋体" w:eastAsia="宋体" w:cs="宋体"/>
          <w:kern w:val="1"/>
          <w:sz w:val="28"/>
          <w:szCs w:val="28"/>
        </w:rPr>
        <w:t>部门预算单位构成</w:t>
      </w:r>
    </w:p>
    <w:p w14:paraId="4EEF9777">
      <w:pPr>
        <w:snapToGrid w:val="0"/>
        <w:spacing w:line="480" w:lineRule="auto"/>
        <w:ind w:right="23" w:firstLine="560" w:firstLineChars="200"/>
        <w:rPr>
          <w:rFonts w:hint="eastAsia" w:ascii="宋体" w:hAnsi="宋体" w:eastAsia="宋体" w:cs="宋体"/>
          <w:kern w:val="1"/>
          <w:sz w:val="28"/>
          <w:szCs w:val="28"/>
        </w:rPr>
      </w:pPr>
      <w:r>
        <w:rPr>
          <w:rFonts w:hint="eastAsia" w:ascii="宋体" w:hAnsi="宋体" w:eastAsia="宋体" w:cs="宋体"/>
          <w:color w:val="auto"/>
          <w:kern w:val="1"/>
          <w:sz w:val="28"/>
          <w:szCs w:val="28"/>
        </w:rPr>
        <w:t>纳入</w:t>
      </w:r>
      <w:r>
        <w:rPr>
          <w:rFonts w:hint="eastAsia" w:ascii="宋体" w:hAnsi="宋体" w:eastAsia="宋体" w:cs="宋体"/>
          <w:b w:val="0"/>
          <w:bCs w:val="0"/>
          <w:color w:val="auto"/>
          <w:kern w:val="1"/>
          <w:sz w:val="28"/>
          <w:szCs w:val="28"/>
          <w:lang w:eastAsia="zh-CN"/>
        </w:rPr>
        <w:t>天门市住房保障服务中心</w:t>
      </w:r>
      <w:r>
        <w:rPr>
          <w:rFonts w:hint="eastAsia" w:ascii="宋体" w:hAnsi="宋体" w:eastAsia="宋体" w:cs="宋体"/>
          <w:color w:val="auto"/>
          <w:kern w:val="1"/>
          <w:sz w:val="28"/>
          <w:szCs w:val="28"/>
          <w:lang w:eastAsia="zh-CN"/>
        </w:rPr>
        <w:t>202</w:t>
      </w:r>
      <w:r>
        <w:rPr>
          <w:rFonts w:hint="eastAsia" w:ascii="宋体" w:hAnsi="宋体" w:eastAsia="宋体" w:cs="宋体"/>
          <w:color w:val="auto"/>
          <w:kern w:val="1"/>
          <w:sz w:val="28"/>
          <w:szCs w:val="28"/>
          <w:lang w:val="en-US" w:eastAsia="zh-CN"/>
        </w:rPr>
        <w:t>6</w:t>
      </w:r>
      <w:r>
        <w:rPr>
          <w:rFonts w:hint="eastAsia" w:ascii="宋体" w:hAnsi="宋体" w:eastAsia="宋体" w:cs="宋体"/>
          <w:color w:val="auto"/>
          <w:kern w:val="1"/>
          <w:sz w:val="28"/>
          <w:szCs w:val="28"/>
          <w:lang w:eastAsia="zh-CN"/>
        </w:rPr>
        <w:t>年</w:t>
      </w:r>
      <w:r>
        <w:rPr>
          <w:rFonts w:hint="eastAsia" w:ascii="宋体" w:hAnsi="宋体" w:eastAsia="宋体" w:cs="宋体"/>
          <w:color w:val="auto"/>
          <w:kern w:val="1"/>
          <w:sz w:val="28"/>
          <w:szCs w:val="28"/>
        </w:rPr>
        <w:t>部门预算编制范围的预算单位包括本单位。</w:t>
      </w:r>
    </w:p>
    <w:p w14:paraId="723B6139">
      <w:pPr>
        <w:widowControl/>
        <w:shd w:val="clear" w:color="auto" w:fill="FFFFFF"/>
        <w:spacing w:line="480" w:lineRule="auto"/>
        <w:ind w:firstLine="560" w:firstLineChars="200"/>
        <w:jc w:val="left"/>
        <w:rPr>
          <w:rFonts w:hint="eastAsia" w:ascii="宋体" w:hAnsi="宋体" w:eastAsia="宋体" w:cs="宋体"/>
          <w:kern w:val="1"/>
          <w:sz w:val="28"/>
          <w:szCs w:val="28"/>
        </w:rPr>
      </w:pPr>
      <w:r>
        <w:rPr>
          <w:rFonts w:hint="eastAsia" w:ascii="宋体" w:hAnsi="宋体" w:eastAsia="宋体" w:cs="宋体"/>
          <w:kern w:val="1"/>
          <w:sz w:val="28"/>
          <w:szCs w:val="28"/>
        </w:rPr>
        <w:t>三、人员构成</w:t>
      </w:r>
    </w:p>
    <w:p w14:paraId="548AC1C1">
      <w:pPr>
        <w:snapToGrid w:val="0"/>
        <w:spacing w:line="480" w:lineRule="auto"/>
        <w:ind w:firstLine="560" w:firstLineChars="200"/>
        <w:rPr>
          <w:rFonts w:hint="eastAsia" w:ascii="宋体" w:hAnsi="宋体" w:eastAsia="宋体" w:cs="宋体"/>
          <w:kern w:val="1"/>
          <w:sz w:val="28"/>
          <w:szCs w:val="28"/>
        </w:rPr>
      </w:pPr>
      <w:r>
        <w:rPr>
          <w:rFonts w:hint="eastAsia" w:ascii="宋体" w:hAnsi="宋体" w:eastAsia="宋体" w:cs="宋体"/>
          <w:kern w:val="1"/>
          <w:sz w:val="28"/>
          <w:szCs w:val="28"/>
          <w:lang w:eastAsia="zh-CN"/>
        </w:rPr>
        <w:t>天门市物业管理所</w:t>
      </w:r>
      <w:r>
        <w:rPr>
          <w:rFonts w:hint="eastAsia" w:ascii="宋体" w:hAnsi="宋体" w:eastAsia="宋体" w:cs="宋体"/>
          <w:kern w:val="1"/>
          <w:sz w:val="28"/>
          <w:szCs w:val="28"/>
        </w:rPr>
        <w:t>部门编制人数</w:t>
      </w:r>
      <w:r>
        <w:rPr>
          <w:rFonts w:hint="eastAsia" w:ascii="宋体" w:hAnsi="宋体" w:eastAsia="宋体" w:cs="宋体"/>
          <w:kern w:val="1"/>
          <w:sz w:val="28"/>
          <w:szCs w:val="28"/>
          <w:lang w:val="en-US" w:eastAsia="zh-CN"/>
        </w:rPr>
        <w:t>12</w:t>
      </w:r>
      <w:r>
        <w:rPr>
          <w:rFonts w:hint="eastAsia" w:ascii="宋体" w:hAnsi="宋体" w:eastAsia="宋体" w:cs="宋体"/>
          <w:kern w:val="1"/>
          <w:sz w:val="28"/>
          <w:szCs w:val="28"/>
        </w:rPr>
        <w:t>人，其中：行政编制</w:t>
      </w:r>
      <w:r>
        <w:rPr>
          <w:rFonts w:hint="eastAsia" w:ascii="宋体" w:hAnsi="宋体" w:eastAsia="宋体" w:cs="宋体"/>
          <w:kern w:val="1"/>
          <w:sz w:val="28"/>
          <w:szCs w:val="28"/>
          <w:lang w:val="en-US" w:eastAsia="zh-CN"/>
        </w:rPr>
        <w:t>0</w:t>
      </w:r>
      <w:r>
        <w:rPr>
          <w:rFonts w:hint="eastAsia" w:ascii="宋体" w:hAnsi="宋体" w:eastAsia="宋体" w:cs="宋体"/>
          <w:kern w:val="1"/>
          <w:sz w:val="28"/>
          <w:szCs w:val="28"/>
        </w:rPr>
        <w:t>人，参公编制</w:t>
      </w:r>
      <w:r>
        <w:rPr>
          <w:rFonts w:hint="eastAsia" w:ascii="宋体" w:hAnsi="宋体" w:eastAsia="宋体" w:cs="宋体"/>
          <w:kern w:val="1"/>
          <w:sz w:val="28"/>
          <w:szCs w:val="28"/>
          <w:lang w:val="en-US" w:eastAsia="zh-CN"/>
        </w:rPr>
        <w:t>0</w:t>
      </w:r>
      <w:r>
        <w:rPr>
          <w:rFonts w:hint="eastAsia" w:ascii="宋体" w:hAnsi="宋体" w:eastAsia="宋体" w:cs="宋体"/>
          <w:kern w:val="1"/>
          <w:sz w:val="28"/>
          <w:szCs w:val="28"/>
        </w:rPr>
        <w:t>人，事业编制</w:t>
      </w:r>
      <w:r>
        <w:rPr>
          <w:rFonts w:hint="eastAsia" w:ascii="宋体" w:hAnsi="宋体" w:eastAsia="宋体" w:cs="宋体"/>
          <w:kern w:val="1"/>
          <w:sz w:val="28"/>
          <w:szCs w:val="28"/>
          <w:lang w:val="en-US" w:eastAsia="zh-CN"/>
        </w:rPr>
        <w:t>12</w:t>
      </w:r>
      <w:r>
        <w:rPr>
          <w:rFonts w:hint="eastAsia" w:ascii="宋体" w:hAnsi="宋体" w:eastAsia="宋体" w:cs="宋体"/>
          <w:kern w:val="1"/>
          <w:sz w:val="28"/>
          <w:szCs w:val="28"/>
        </w:rPr>
        <w:t>人，工勤编制</w:t>
      </w:r>
      <w:r>
        <w:rPr>
          <w:rFonts w:hint="eastAsia" w:ascii="宋体" w:hAnsi="宋体" w:eastAsia="宋体" w:cs="宋体"/>
          <w:kern w:val="1"/>
          <w:sz w:val="28"/>
          <w:szCs w:val="28"/>
          <w:lang w:val="en-US" w:eastAsia="zh-CN"/>
        </w:rPr>
        <w:t>0</w:t>
      </w:r>
      <w:r>
        <w:rPr>
          <w:rFonts w:hint="eastAsia" w:ascii="宋体" w:hAnsi="宋体" w:eastAsia="宋体" w:cs="宋体"/>
          <w:kern w:val="1"/>
          <w:sz w:val="28"/>
          <w:szCs w:val="28"/>
        </w:rPr>
        <w:t>人。在职实有人数</w:t>
      </w:r>
      <w:r>
        <w:rPr>
          <w:rFonts w:hint="eastAsia" w:ascii="宋体" w:hAnsi="宋体" w:eastAsia="宋体" w:cs="宋体"/>
          <w:kern w:val="1"/>
          <w:sz w:val="28"/>
          <w:szCs w:val="28"/>
          <w:lang w:val="en-US" w:eastAsia="zh-CN"/>
        </w:rPr>
        <w:t>11</w:t>
      </w:r>
      <w:r>
        <w:rPr>
          <w:rFonts w:hint="eastAsia" w:ascii="宋体" w:hAnsi="宋体" w:eastAsia="宋体" w:cs="宋体"/>
          <w:kern w:val="1"/>
          <w:sz w:val="28"/>
          <w:szCs w:val="28"/>
        </w:rPr>
        <w:t>人，其中：行政人员</w:t>
      </w:r>
      <w:r>
        <w:rPr>
          <w:rFonts w:hint="eastAsia" w:ascii="宋体" w:hAnsi="宋体" w:eastAsia="宋体" w:cs="宋体"/>
          <w:kern w:val="1"/>
          <w:sz w:val="28"/>
          <w:szCs w:val="28"/>
          <w:lang w:val="en-US" w:eastAsia="zh-CN"/>
        </w:rPr>
        <w:t>0</w:t>
      </w:r>
      <w:r>
        <w:rPr>
          <w:rFonts w:hint="eastAsia" w:ascii="宋体" w:hAnsi="宋体" w:eastAsia="宋体" w:cs="宋体"/>
          <w:kern w:val="1"/>
          <w:sz w:val="28"/>
          <w:szCs w:val="28"/>
        </w:rPr>
        <w:t>人，参公人员</w:t>
      </w:r>
      <w:r>
        <w:rPr>
          <w:rFonts w:hint="eastAsia" w:ascii="宋体" w:hAnsi="宋体" w:eastAsia="宋体" w:cs="宋体"/>
          <w:kern w:val="1"/>
          <w:sz w:val="28"/>
          <w:szCs w:val="28"/>
          <w:lang w:val="en-US" w:eastAsia="zh-CN"/>
        </w:rPr>
        <w:t>0</w:t>
      </w:r>
      <w:r>
        <w:rPr>
          <w:rFonts w:hint="eastAsia" w:ascii="宋体" w:hAnsi="宋体" w:eastAsia="宋体" w:cs="宋体"/>
          <w:kern w:val="1"/>
          <w:sz w:val="28"/>
          <w:szCs w:val="28"/>
        </w:rPr>
        <w:t>人，事业人员</w:t>
      </w:r>
      <w:r>
        <w:rPr>
          <w:rFonts w:hint="eastAsia" w:ascii="宋体" w:hAnsi="宋体" w:eastAsia="宋体" w:cs="宋体"/>
          <w:kern w:val="1"/>
          <w:sz w:val="28"/>
          <w:szCs w:val="28"/>
          <w:lang w:val="en-US" w:eastAsia="zh-CN"/>
        </w:rPr>
        <w:t>11</w:t>
      </w:r>
      <w:r>
        <w:rPr>
          <w:rFonts w:hint="eastAsia" w:ascii="宋体" w:hAnsi="宋体" w:eastAsia="宋体" w:cs="宋体"/>
          <w:kern w:val="1"/>
          <w:sz w:val="28"/>
          <w:szCs w:val="28"/>
        </w:rPr>
        <w:t>人，工勤人员</w:t>
      </w:r>
      <w:r>
        <w:rPr>
          <w:rFonts w:hint="eastAsia" w:ascii="宋体" w:hAnsi="宋体" w:eastAsia="宋体" w:cs="宋体"/>
          <w:kern w:val="1"/>
          <w:sz w:val="28"/>
          <w:szCs w:val="28"/>
          <w:lang w:val="en-US" w:eastAsia="zh-CN"/>
        </w:rPr>
        <w:t>0</w:t>
      </w:r>
      <w:r>
        <w:rPr>
          <w:rFonts w:hint="eastAsia" w:ascii="宋体" w:hAnsi="宋体" w:eastAsia="宋体" w:cs="宋体"/>
          <w:kern w:val="1"/>
          <w:sz w:val="28"/>
          <w:szCs w:val="28"/>
        </w:rPr>
        <w:t>人。</w:t>
      </w:r>
    </w:p>
    <w:p w14:paraId="3087387B">
      <w:pPr>
        <w:snapToGrid w:val="0"/>
        <w:spacing w:line="480" w:lineRule="auto"/>
        <w:ind w:firstLine="560" w:firstLineChars="200"/>
        <w:rPr>
          <w:rFonts w:hint="eastAsia" w:ascii="宋体" w:hAnsi="宋体" w:eastAsia="宋体" w:cs="宋体"/>
          <w:kern w:val="1"/>
          <w:sz w:val="28"/>
          <w:szCs w:val="28"/>
        </w:rPr>
      </w:pPr>
      <w:r>
        <w:rPr>
          <w:rFonts w:hint="eastAsia" w:ascii="宋体" w:hAnsi="宋体" w:eastAsia="宋体" w:cs="宋体"/>
          <w:kern w:val="1"/>
          <w:sz w:val="28"/>
          <w:szCs w:val="28"/>
        </w:rPr>
        <w:t>离退休人员</w:t>
      </w:r>
      <w:r>
        <w:rPr>
          <w:rFonts w:hint="eastAsia" w:ascii="宋体" w:hAnsi="宋体" w:eastAsia="宋体" w:cs="宋体"/>
          <w:kern w:val="1"/>
          <w:sz w:val="28"/>
          <w:szCs w:val="28"/>
          <w:lang w:val="en-US" w:eastAsia="zh-CN"/>
        </w:rPr>
        <w:t>0</w:t>
      </w:r>
      <w:r>
        <w:rPr>
          <w:rFonts w:hint="eastAsia" w:ascii="宋体" w:hAnsi="宋体" w:eastAsia="宋体" w:cs="宋体"/>
          <w:kern w:val="1"/>
          <w:sz w:val="28"/>
          <w:szCs w:val="28"/>
        </w:rPr>
        <w:t>人，其中：离休</w:t>
      </w:r>
      <w:r>
        <w:rPr>
          <w:rFonts w:hint="eastAsia" w:ascii="宋体" w:hAnsi="宋体" w:eastAsia="宋体" w:cs="宋体"/>
          <w:kern w:val="1"/>
          <w:sz w:val="28"/>
          <w:szCs w:val="28"/>
          <w:lang w:val="en-US" w:eastAsia="zh-CN"/>
        </w:rPr>
        <w:t>0</w:t>
      </w:r>
      <w:r>
        <w:rPr>
          <w:rFonts w:hint="eastAsia" w:ascii="宋体" w:hAnsi="宋体" w:eastAsia="宋体" w:cs="宋体"/>
          <w:kern w:val="1"/>
          <w:sz w:val="28"/>
          <w:szCs w:val="28"/>
        </w:rPr>
        <w:t>人，退休</w:t>
      </w:r>
      <w:r>
        <w:rPr>
          <w:rFonts w:hint="eastAsia" w:ascii="宋体" w:hAnsi="宋体" w:eastAsia="宋体" w:cs="宋体"/>
          <w:kern w:val="1"/>
          <w:sz w:val="28"/>
          <w:szCs w:val="28"/>
          <w:lang w:val="en-US" w:eastAsia="zh-CN"/>
        </w:rPr>
        <w:t>0</w:t>
      </w:r>
      <w:r>
        <w:rPr>
          <w:rFonts w:hint="eastAsia" w:ascii="宋体" w:hAnsi="宋体" w:eastAsia="宋体" w:cs="宋体"/>
          <w:kern w:val="1"/>
          <w:sz w:val="28"/>
          <w:szCs w:val="28"/>
        </w:rPr>
        <w:t>人。</w:t>
      </w:r>
    </w:p>
    <w:p w14:paraId="65687CEE">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cs="宋体"/>
          <w:b/>
          <w:color w:val="333333"/>
          <w:sz w:val="28"/>
          <w:szCs w:val="28"/>
          <w:shd w:val="clear" w:color="auto" w:fill="FFFFFF"/>
        </w:rPr>
      </w:pPr>
    </w:p>
    <w:p w14:paraId="21FD7C0A">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4EA6CF6B">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1D641485">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6AB7EC99">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b/>
          <w:color w:val="333333"/>
          <w:sz w:val="28"/>
          <w:szCs w:val="28"/>
          <w:shd w:val="clear" w:color="auto" w:fill="FFFFFF"/>
        </w:rPr>
      </w:pPr>
    </w:p>
    <w:p w14:paraId="7D4106D4">
      <w:pPr>
        <w:keepNext w:val="0"/>
        <w:keepLines w:val="0"/>
        <w:pageBreakBefore w:val="0"/>
        <w:widowControl/>
        <w:shd w:val="clear" w:color="auto" w:fill="FFFFFF"/>
        <w:kinsoku/>
        <w:wordWrap/>
        <w:overflowPunct/>
        <w:topLinePunct w:val="0"/>
        <w:autoSpaceDE/>
        <w:autoSpaceDN/>
        <w:bidi w:val="0"/>
        <w:adjustRightInd/>
        <w:spacing w:line="480" w:lineRule="exact"/>
        <w:ind w:firstLine="151" w:firstLineChars="50"/>
        <w:jc w:val="center"/>
        <w:textAlignment w:val="auto"/>
        <w:rPr>
          <w:rFonts w:hint="eastAsia" w:ascii="宋体" w:hAnsi="宋体" w:eastAsia="宋体"/>
          <w:b/>
          <w:color w:val="333333"/>
          <w:sz w:val="30"/>
          <w:szCs w:val="30"/>
          <w:shd w:val="clear" w:color="auto" w:fill="FFFFFF"/>
        </w:rPr>
      </w:pPr>
      <w:r>
        <w:rPr>
          <w:rFonts w:hint="eastAsia" w:ascii="宋体" w:hAnsi="宋体" w:eastAsia="宋体"/>
          <w:b/>
          <w:color w:val="333333"/>
          <w:sz w:val="30"/>
          <w:szCs w:val="30"/>
          <w:shd w:val="clear" w:color="auto" w:fill="FFFFFF"/>
        </w:rPr>
        <w:t>第二部分　</w:t>
      </w:r>
      <w:r>
        <w:rPr>
          <w:rFonts w:hint="eastAsia" w:ascii="宋体" w:hAnsi="宋体" w:eastAsia="宋体"/>
          <w:b/>
          <w:color w:val="333333"/>
          <w:sz w:val="30"/>
          <w:szCs w:val="30"/>
          <w:shd w:val="clear" w:color="auto" w:fill="FFFFFF"/>
          <w:lang w:eastAsia="zh-CN"/>
        </w:rPr>
        <w:t>天门市物业管理所</w:t>
      </w:r>
      <w:r>
        <w:rPr>
          <w:rFonts w:hint="eastAsia" w:ascii="宋体" w:hAnsi="宋体" w:eastAsia="宋体"/>
          <w:b/>
          <w:color w:val="333333"/>
          <w:sz w:val="30"/>
          <w:szCs w:val="30"/>
          <w:shd w:val="clear" w:color="auto" w:fill="FFFFFF"/>
        </w:rPr>
        <w:t>预算编制情况说明</w:t>
      </w:r>
    </w:p>
    <w:p w14:paraId="1642A13C">
      <w:pPr>
        <w:keepNext w:val="0"/>
        <w:keepLines w:val="0"/>
        <w:pageBreakBefore w:val="0"/>
        <w:widowControl/>
        <w:shd w:val="clear" w:color="auto" w:fill="FFFFFF"/>
        <w:kinsoku/>
        <w:wordWrap/>
        <w:overflowPunct/>
        <w:topLinePunct w:val="0"/>
        <w:autoSpaceDE/>
        <w:autoSpaceDN/>
        <w:bidi w:val="0"/>
        <w:adjustRightInd/>
        <w:spacing w:line="480" w:lineRule="exact"/>
        <w:ind w:firstLine="151" w:firstLineChars="50"/>
        <w:jc w:val="center"/>
        <w:textAlignment w:val="auto"/>
        <w:rPr>
          <w:rFonts w:hint="eastAsia" w:ascii="宋体" w:hAnsi="宋体" w:eastAsia="宋体"/>
          <w:b/>
          <w:color w:val="333333"/>
          <w:sz w:val="30"/>
          <w:szCs w:val="30"/>
          <w:shd w:val="clear" w:color="auto" w:fill="FFFFFF"/>
        </w:rPr>
      </w:pPr>
    </w:p>
    <w:p w14:paraId="0FF1D045">
      <w:pPr>
        <w:keepNext w:val="0"/>
        <w:keepLines w:val="0"/>
        <w:pageBreakBefore w:val="0"/>
        <w:widowControl/>
        <w:shd w:val="clear" w:color="auto" w:fill="FFFFFF"/>
        <w:kinsoku/>
        <w:wordWrap/>
        <w:overflowPunct/>
        <w:topLinePunct w:val="0"/>
        <w:autoSpaceDE/>
        <w:autoSpaceDN/>
        <w:bidi w:val="0"/>
        <w:adjustRightInd/>
        <w:spacing w:line="480" w:lineRule="auto"/>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一、预算收支安排及增减变化情况</w:t>
      </w:r>
    </w:p>
    <w:p w14:paraId="2276E158">
      <w:pPr>
        <w:widowControl/>
        <w:shd w:val="clear" w:color="auto" w:fill="FFFFFF"/>
        <w:spacing w:line="480" w:lineRule="auto"/>
        <w:ind w:firstLine="560" w:firstLineChars="200"/>
        <w:jc w:val="left"/>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1．预算收入情况：202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年预算收入总额</w:t>
      </w:r>
      <w:r>
        <w:rPr>
          <w:rFonts w:hint="eastAsia" w:ascii="宋体" w:hAnsi="宋体" w:eastAsia="宋体" w:cs="宋体"/>
          <w:color w:val="000000" w:themeColor="text1"/>
          <w:kern w:val="1"/>
          <w:sz w:val="28"/>
          <w:szCs w:val="28"/>
          <w:lang w:val="en-US" w:eastAsia="zh-CN"/>
          <w14:textFill>
            <w14:solidFill>
              <w14:schemeClr w14:val="tx1"/>
            </w14:solidFill>
          </w14:textFill>
        </w:rPr>
        <w:t>157.22</w:t>
      </w:r>
      <w:r>
        <w:rPr>
          <w:rFonts w:hint="eastAsia" w:ascii="宋体" w:hAnsi="宋体" w:eastAsia="宋体" w:cs="宋体"/>
          <w:color w:val="000000" w:themeColor="text1"/>
          <w:kern w:val="1"/>
          <w:sz w:val="28"/>
          <w:szCs w:val="28"/>
          <w14:textFill>
            <w14:solidFill>
              <w14:schemeClr w14:val="tx1"/>
            </w14:solidFill>
          </w14:textFill>
        </w:rPr>
        <w:t>万元，比上年预算增加</w:t>
      </w:r>
      <w:r>
        <w:rPr>
          <w:rFonts w:hint="eastAsia" w:ascii="宋体" w:hAnsi="宋体" w:eastAsia="宋体" w:cs="宋体"/>
          <w:color w:val="000000" w:themeColor="text1"/>
          <w:kern w:val="1"/>
          <w:sz w:val="28"/>
          <w:szCs w:val="28"/>
          <w:lang w:val="en-US" w:eastAsia="zh-CN"/>
          <w14:textFill>
            <w14:solidFill>
              <w14:schemeClr w14:val="tx1"/>
            </w14:solidFill>
          </w14:textFill>
        </w:rPr>
        <w:t>10.65</w:t>
      </w:r>
      <w:r>
        <w:rPr>
          <w:rFonts w:hint="eastAsia" w:ascii="宋体" w:hAnsi="宋体" w:eastAsia="宋体" w:cs="宋体"/>
          <w:color w:val="000000" w:themeColor="text1"/>
          <w:kern w:val="1"/>
          <w:sz w:val="28"/>
          <w:szCs w:val="28"/>
          <w14:textFill>
            <w14:solidFill>
              <w14:schemeClr w14:val="tx1"/>
            </w14:solidFill>
          </w14:textFill>
        </w:rPr>
        <w:t>万元，增长</w:t>
      </w:r>
      <w:r>
        <w:rPr>
          <w:rFonts w:hint="eastAsia" w:ascii="宋体" w:hAnsi="宋体" w:eastAsia="宋体" w:cs="宋体"/>
          <w:color w:val="000000" w:themeColor="text1"/>
          <w:kern w:val="1"/>
          <w:sz w:val="28"/>
          <w:szCs w:val="28"/>
          <w:lang w:val="en-US" w:eastAsia="zh-CN"/>
          <w14:textFill>
            <w14:solidFill>
              <w14:schemeClr w14:val="tx1"/>
            </w14:solidFill>
          </w14:textFill>
        </w:rPr>
        <w:t>7.27</w:t>
      </w:r>
      <w:r>
        <w:rPr>
          <w:rFonts w:hint="eastAsia" w:ascii="宋体" w:hAnsi="宋体" w:eastAsia="宋体" w:cs="宋体"/>
          <w:color w:val="000000" w:themeColor="text1"/>
          <w:kern w:val="1"/>
          <w:sz w:val="28"/>
          <w:szCs w:val="28"/>
          <w14:textFill>
            <w14:solidFill>
              <w14:schemeClr w14:val="tx1"/>
            </w14:solidFill>
          </w14:textFill>
        </w:rPr>
        <w:t>%。其中：一般公共预算财政拨款</w:t>
      </w:r>
      <w:r>
        <w:rPr>
          <w:rFonts w:hint="eastAsia" w:ascii="宋体" w:hAnsi="宋体" w:eastAsia="宋体" w:cs="宋体"/>
          <w:color w:val="000000" w:themeColor="text1"/>
          <w:kern w:val="1"/>
          <w:sz w:val="28"/>
          <w:szCs w:val="28"/>
          <w:lang w:val="en-US" w:eastAsia="zh-CN"/>
          <w14:textFill>
            <w14:solidFill>
              <w14:schemeClr w14:val="tx1"/>
            </w14:solidFill>
          </w14:textFill>
        </w:rPr>
        <w:t>157.22</w:t>
      </w:r>
      <w:r>
        <w:rPr>
          <w:rFonts w:hint="eastAsia" w:ascii="宋体" w:hAnsi="宋体" w:eastAsia="宋体" w:cs="宋体"/>
          <w:color w:val="000000" w:themeColor="text1"/>
          <w:kern w:val="1"/>
          <w:sz w:val="28"/>
          <w:szCs w:val="28"/>
          <w14:textFill>
            <w14:solidFill>
              <w14:schemeClr w14:val="tx1"/>
            </w14:solidFill>
          </w14:textFill>
        </w:rPr>
        <w:t>万元，政府性基金预算财政拨款收入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万元，国有资本经营预算财政拨款收入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万元，财政专户管理资金收入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万元，单位资金收入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万元，上年结余结转</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万元。收入增长主要原因是</w:t>
      </w:r>
      <w:r>
        <w:rPr>
          <w:rFonts w:hint="eastAsia" w:ascii="宋体" w:hAnsi="宋体" w:eastAsia="宋体" w:cs="宋体"/>
          <w:color w:val="000000" w:themeColor="text1"/>
          <w:kern w:val="1"/>
          <w:sz w:val="28"/>
          <w:szCs w:val="28"/>
          <w:lang w:eastAsia="zh-CN"/>
          <w14:textFill>
            <w14:solidFill>
              <w14:schemeClr w14:val="tx1"/>
            </w14:solidFill>
          </w14:textFill>
        </w:rPr>
        <w:t>在职人员工资调整，人员经费增加，财政拨款收入增加</w:t>
      </w:r>
      <w:r>
        <w:rPr>
          <w:rFonts w:hint="eastAsia" w:ascii="宋体" w:hAnsi="宋体" w:eastAsia="宋体"/>
          <w:color w:val="333333"/>
          <w:sz w:val="28"/>
          <w:szCs w:val="28"/>
          <w:shd w:val="clear" w:color="auto" w:fill="FFFFFF"/>
        </w:rPr>
        <w:t>。</w:t>
      </w:r>
    </w:p>
    <w:p w14:paraId="6B43BAF8">
      <w:pPr>
        <w:widowControl/>
        <w:shd w:val="clear" w:color="auto" w:fill="FFFFFF"/>
        <w:spacing w:line="480" w:lineRule="auto"/>
        <w:ind w:firstLine="560" w:firstLineChars="200"/>
        <w:jc w:val="left"/>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2．预算支出情况：202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年预算支出总额</w:t>
      </w:r>
      <w:r>
        <w:rPr>
          <w:rFonts w:hint="eastAsia" w:ascii="宋体" w:hAnsi="宋体" w:eastAsia="宋体" w:cs="宋体"/>
          <w:color w:val="000000" w:themeColor="text1"/>
          <w:kern w:val="1"/>
          <w:sz w:val="28"/>
          <w:szCs w:val="28"/>
          <w:lang w:val="en-US" w:eastAsia="zh-CN"/>
          <w14:textFill>
            <w14:solidFill>
              <w14:schemeClr w14:val="tx1"/>
            </w14:solidFill>
          </w14:textFill>
        </w:rPr>
        <w:t>157.22</w:t>
      </w:r>
      <w:r>
        <w:rPr>
          <w:rFonts w:hint="eastAsia" w:ascii="宋体" w:hAnsi="宋体" w:eastAsia="宋体" w:cs="宋体"/>
          <w:color w:val="000000" w:themeColor="text1"/>
          <w:kern w:val="1"/>
          <w:sz w:val="28"/>
          <w:szCs w:val="28"/>
          <w14:textFill>
            <w14:solidFill>
              <w14:schemeClr w14:val="tx1"/>
            </w14:solidFill>
          </w14:textFill>
        </w:rPr>
        <w:t>万元，比上年预算增加</w:t>
      </w:r>
      <w:r>
        <w:rPr>
          <w:rFonts w:hint="eastAsia" w:ascii="宋体" w:hAnsi="宋体" w:eastAsia="宋体" w:cs="宋体"/>
          <w:color w:val="000000" w:themeColor="text1"/>
          <w:kern w:val="1"/>
          <w:sz w:val="28"/>
          <w:szCs w:val="28"/>
          <w:lang w:val="en-US" w:eastAsia="zh-CN"/>
          <w14:textFill>
            <w14:solidFill>
              <w14:schemeClr w14:val="tx1"/>
            </w14:solidFill>
          </w14:textFill>
        </w:rPr>
        <w:t>10.65</w:t>
      </w:r>
      <w:r>
        <w:rPr>
          <w:rFonts w:hint="eastAsia" w:ascii="宋体" w:hAnsi="宋体" w:eastAsia="宋体" w:cs="宋体"/>
          <w:color w:val="000000" w:themeColor="text1"/>
          <w:kern w:val="1"/>
          <w:sz w:val="28"/>
          <w:szCs w:val="28"/>
          <w14:textFill>
            <w14:solidFill>
              <w14:schemeClr w14:val="tx1"/>
            </w14:solidFill>
          </w14:textFill>
        </w:rPr>
        <w:t>万元，增长</w:t>
      </w:r>
      <w:r>
        <w:rPr>
          <w:rFonts w:hint="eastAsia" w:ascii="宋体" w:hAnsi="宋体" w:eastAsia="宋体" w:cs="宋体"/>
          <w:color w:val="000000" w:themeColor="text1"/>
          <w:kern w:val="1"/>
          <w:sz w:val="28"/>
          <w:szCs w:val="28"/>
          <w:lang w:val="en-US" w:eastAsia="zh-CN"/>
          <w14:textFill>
            <w14:solidFill>
              <w14:schemeClr w14:val="tx1"/>
            </w14:solidFill>
          </w14:textFill>
        </w:rPr>
        <w:t>7.27</w:t>
      </w:r>
      <w:r>
        <w:rPr>
          <w:rFonts w:hint="eastAsia" w:ascii="宋体" w:hAnsi="宋体" w:eastAsia="宋体" w:cs="宋体"/>
          <w:color w:val="000000" w:themeColor="text1"/>
          <w:kern w:val="1"/>
          <w:sz w:val="28"/>
          <w:szCs w:val="28"/>
          <w14:textFill>
            <w14:solidFill>
              <w14:schemeClr w14:val="tx1"/>
            </w14:solidFill>
          </w14:textFill>
        </w:rPr>
        <w:t>%。其中：人员类项目支出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143.68</w:t>
      </w:r>
      <w:r>
        <w:rPr>
          <w:rFonts w:hint="eastAsia" w:ascii="宋体" w:hAnsi="宋体" w:eastAsia="宋体" w:cs="宋体"/>
          <w:color w:val="000000" w:themeColor="text1"/>
          <w:kern w:val="1"/>
          <w:sz w:val="28"/>
          <w:szCs w:val="28"/>
          <w14:textFill>
            <w14:solidFill>
              <w14:schemeClr w14:val="tx1"/>
            </w14:solidFill>
          </w14:textFill>
        </w:rPr>
        <w:t>万元，公用经费项目支出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13.54</w:t>
      </w:r>
      <w:r>
        <w:rPr>
          <w:rFonts w:hint="eastAsia" w:ascii="宋体" w:hAnsi="宋体" w:eastAsia="宋体" w:cs="宋体"/>
          <w:color w:val="000000" w:themeColor="text1"/>
          <w:kern w:val="1"/>
          <w:sz w:val="28"/>
          <w:szCs w:val="28"/>
          <w14:textFill>
            <w14:solidFill>
              <w14:schemeClr w14:val="tx1"/>
            </w14:solidFill>
          </w14:textFill>
        </w:rPr>
        <w:t>万元，其他运转类项目支出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万元，特定目标类项目支出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万元。本年支出构成为：一般公共服务支出</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万元，占本年支出</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％；社会保障和就业支出</w:t>
      </w:r>
      <w:r>
        <w:rPr>
          <w:rFonts w:hint="eastAsia" w:ascii="宋体" w:hAnsi="宋体" w:eastAsia="宋体" w:cs="宋体"/>
          <w:color w:val="000000" w:themeColor="text1"/>
          <w:kern w:val="1"/>
          <w:sz w:val="28"/>
          <w:szCs w:val="28"/>
          <w:lang w:val="en-US" w:eastAsia="zh-CN"/>
          <w14:textFill>
            <w14:solidFill>
              <w14:schemeClr w14:val="tx1"/>
            </w14:solidFill>
          </w14:textFill>
        </w:rPr>
        <w:t>16.38</w:t>
      </w:r>
      <w:r>
        <w:rPr>
          <w:rFonts w:hint="eastAsia" w:ascii="宋体" w:hAnsi="宋体" w:eastAsia="宋体" w:cs="宋体"/>
          <w:color w:val="000000" w:themeColor="text1"/>
          <w:kern w:val="1"/>
          <w:sz w:val="28"/>
          <w:szCs w:val="28"/>
          <w14:textFill>
            <w14:solidFill>
              <w14:schemeClr w14:val="tx1"/>
            </w14:solidFill>
          </w14:textFill>
        </w:rPr>
        <w:t>万元，占本年支出</w:t>
      </w:r>
      <w:r>
        <w:rPr>
          <w:rFonts w:hint="eastAsia" w:ascii="宋体" w:hAnsi="宋体" w:eastAsia="宋体" w:cs="宋体"/>
          <w:color w:val="000000" w:themeColor="text1"/>
          <w:kern w:val="1"/>
          <w:sz w:val="28"/>
          <w:szCs w:val="28"/>
          <w:lang w:val="en-US" w:eastAsia="zh-CN"/>
          <w14:textFill>
            <w14:solidFill>
              <w14:schemeClr w14:val="tx1"/>
            </w14:solidFill>
          </w14:textFill>
        </w:rPr>
        <w:t>10.42</w:t>
      </w:r>
      <w:r>
        <w:rPr>
          <w:rFonts w:hint="eastAsia" w:ascii="宋体" w:hAnsi="宋体" w:eastAsia="宋体" w:cs="宋体"/>
          <w:color w:val="000000" w:themeColor="text1"/>
          <w:kern w:val="1"/>
          <w:sz w:val="28"/>
          <w:szCs w:val="28"/>
          <w14:textFill>
            <w14:solidFill>
              <w14:schemeClr w14:val="tx1"/>
            </w14:solidFill>
          </w14:textFill>
        </w:rPr>
        <w:t xml:space="preserve">％；医疗卫生支出 </w:t>
      </w:r>
      <w:r>
        <w:rPr>
          <w:rFonts w:hint="eastAsia" w:ascii="宋体" w:hAnsi="宋体" w:eastAsia="宋体" w:cs="宋体"/>
          <w:color w:val="000000" w:themeColor="text1"/>
          <w:kern w:val="1"/>
          <w:sz w:val="28"/>
          <w:szCs w:val="28"/>
          <w:lang w:val="en-US" w:eastAsia="zh-CN"/>
          <w14:textFill>
            <w14:solidFill>
              <w14:schemeClr w14:val="tx1"/>
            </w14:solidFill>
          </w14:textFill>
        </w:rPr>
        <w:t>6.05</w:t>
      </w:r>
      <w:r>
        <w:rPr>
          <w:rFonts w:hint="eastAsia" w:ascii="宋体" w:hAnsi="宋体" w:eastAsia="宋体" w:cs="宋体"/>
          <w:color w:val="000000" w:themeColor="text1"/>
          <w:kern w:val="1"/>
          <w:sz w:val="28"/>
          <w:szCs w:val="28"/>
          <w14:textFill>
            <w14:solidFill>
              <w14:schemeClr w14:val="tx1"/>
            </w14:solidFill>
          </w14:textFill>
        </w:rPr>
        <w:t>万元，占本年</w:t>
      </w:r>
      <w:r>
        <w:rPr>
          <w:rFonts w:hint="eastAsia" w:ascii="宋体" w:hAnsi="宋体" w:eastAsia="宋体" w:cs="宋体"/>
          <w:color w:val="000000" w:themeColor="text1"/>
          <w:kern w:val="1"/>
          <w:sz w:val="28"/>
          <w:szCs w:val="28"/>
          <w:lang w:val="en-US" w:eastAsia="zh-CN"/>
          <w14:textFill>
            <w14:solidFill>
              <w14:schemeClr w14:val="tx1"/>
            </w14:solidFill>
          </w14:textFill>
        </w:rPr>
        <w:t>支</w:t>
      </w:r>
      <w:r>
        <w:rPr>
          <w:rFonts w:hint="eastAsia" w:ascii="宋体" w:hAnsi="宋体" w:eastAsia="宋体" w:cs="宋体"/>
          <w:color w:val="000000" w:themeColor="text1"/>
          <w:kern w:val="1"/>
          <w:sz w:val="28"/>
          <w:szCs w:val="28"/>
          <w14:textFill>
            <w14:solidFill>
              <w14:schemeClr w14:val="tx1"/>
            </w14:solidFill>
          </w14:textFill>
        </w:rPr>
        <w:t>出</w:t>
      </w:r>
      <w:r>
        <w:rPr>
          <w:rFonts w:hint="eastAsia" w:ascii="宋体" w:hAnsi="宋体" w:eastAsia="宋体" w:cs="宋体"/>
          <w:color w:val="000000" w:themeColor="text1"/>
          <w:kern w:val="1"/>
          <w:sz w:val="28"/>
          <w:szCs w:val="28"/>
          <w:lang w:val="en-US" w:eastAsia="zh-CN"/>
          <w14:textFill>
            <w14:solidFill>
              <w14:schemeClr w14:val="tx1"/>
            </w14:solidFill>
          </w14:textFill>
        </w:rPr>
        <w:t>3.85</w:t>
      </w:r>
      <w:r>
        <w:rPr>
          <w:rFonts w:hint="eastAsia" w:ascii="宋体" w:hAnsi="宋体" w:eastAsia="宋体" w:cs="宋体"/>
          <w:color w:val="000000" w:themeColor="text1"/>
          <w:kern w:val="1"/>
          <w:sz w:val="28"/>
          <w:szCs w:val="28"/>
          <w14:textFill>
            <w14:solidFill>
              <w14:schemeClr w14:val="tx1"/>
            </w14:solidFill>
          </w14:textFill>
        </w:rPr>
        <w:t>％；</w:t>
      </w:r>
      <w:r>
        <w:rPr>
          <w:rFonts w:hint="eastAsia" w:ascii="宋体" w:hAnsi="宋体" w:eastAsia="宋体"/>
          <w:color w:val="333333"/>
          <w:sz w:val="28"/>
          <w:szCs w:val="28"/>
          <w:shd w:val="clear" w:color="auto" w:fill="FFFFFF"/>
          <w:lang w:eastAsia="zh-CN"/>
        </w:rPr>
        <w:t>城乡社区支出</w:t>
      </w:r>
      <w:r>
        <w:rPr>
          <w:rFonts w:hint="eastAsia" w:ascii="宋体" w:hAnsi="宋体" w:eastAsia="宋体"/>
          <w:color w:val="333333"/>
          <w:sz w:val="28"/>
          <w:szCs w:val="28"/>
          <w:shd w:val="clear" w:color="auto" w:fill="FFFFFF"/>
          <w:lang w:val="en-US" w:eastAsia="zh-CN"/>
        </w:rPr>
        <w:t>121.86万元，</w:t>
      </w:r>
      <w:r>
        <w:rPr>
          <w:rFonts w:hint="eastAsia" w:ascii="宋体" w:hAnsi="宋体" w:eastAsia="宋体"/>
          <w:color w:val="333333"/>
          <w:sz w:val="28"/>
          <w:szCs w:val="28"/>
          <w:shd w:val="clear" w:color="auto" w:fill="FFFFFF"/>
        </w:rPr>
        <w:t>占本年支出</w:t>
      </w:r>
      <w:r>
        <w:rPr>
          <w:rFonts w:hint="eastAsia" w:ascii="宋体" w:hAnsi="宋体" w:eastAsia="宋体"/>
          <w:color w:val="333333"/>
          <w:sz w:val="28"/>
          <w:szCs w:val="28"/>
          <w:shd w:val="clear" w:color="auto" w:fill="FFFFFF"/>
          <w:lang w:val="en-US" w:eastAsia="zh-CN"/>
        </w:rPr>
        <w:t>77.51</w:t>
      </w:r>
      <w:r>
        <w:rPr>
          <w:rFonts w:hint="eastAsia" w:ascii="宋体" w:hAnsi="宋体" w:eastAsia="宋体"/>
          <w:color w:val="333333"/>
          <w:sz w:val="28"/>
          <w:szCs w:val="28"/>
          <w:shd w:val="clear" w:color="auto" w:fill="FFFFFF"/>
        </w:rPr>
        <w:t>％。</w:t>
      </w:r>
      <w:r>
        <w:rPr>
          <w:rFonts w:hint="eastAsia" w:ascii="宋体" w:hAnsi="宋体" w:eastAsia="宋体"/>
          <w:color w:val="333333"/>
          <w:sz w:val="28"/>
          <w:szCs w:val="28"/>
          <w:shd w:val="clear" w:color="auto" w:fill="FFFFFF"/>
          <w:lang w:eastAsia="zh-CN"/>
        </w:rPr>
        <w:t>住房保障支出</w:t>
      </w:r>
      <w:r>
        <w:rPr>
          <w:rFonts w:hint="eastAsia" w:ascii="宋体" w:hAnsi="宋体" w:eastAsia="宋体"/>
          <w:color w:val="333333"/>
          <w:sz w:val="28"/>
          <w:szCs w:val="28"/>
          <w:shd w:val="clear" w:color="auto" w:fill="FFFFFF"/>
          <w:lang w:val="en-US" w:eastAsia="zh-CN"/>
        </w:rPr>
        <w:t>12.93万元，</w:t>
      </w:r>
      <w:r>
        <w:rPr>
          <w:rFonts w:hint="eastAsia" w:ascii="宋体" w:hAnsi="宋体" w:eastAsia="宋体"/>
          <w:color w:val="333333"/>
          <w:sz w:val="28"/>
          <w:szCs w:val="28"/>
          <w:shd w:val="clear" w:color="auto" w:fill="FFFFFF"/>
        </w:rPr>
        <w:t>占本年支出</w:t>
      </w:r>
      <w:r>
        <w:rPr>
          <w:rFonts w:hint="eastAsia" w:ascii="宋体" w:hAnsi="宋体" w:eastAsia="宋体"/>
          <w:color w:val="333333"/>
          <w:sz w:val="28"/>
          <w:szCs w:val="28"/>
          <w:shd w:val="clear" w:color="auto" w:fill="FFFFFF"/>
          <w:lang w:val="en-US" w:eastAsia="zh-CN"/>
        </w:rPr>
        <w:t>8.22</w:t>
      </w:r>
      <w:r>
        <w:rPr>
          <w:rFonts w:hint="eastAsia" w:ascii="宋体" w:hAnsi="宋体" w:eastAsia="宋体"/>
          <w:color w:val="333333"/>
          <w:sz w:val="28"/>
          <w:szCs w:val="28"/>
          <w:shd w:val="clear" w:color="auto" w:fill="FFFFFF"/>
        </w:rPr>
        <w:t>％。支出增长主要原因是</w:t>
      </w:r>
      <w:r>
        <w:rPr>
          <w:rFonts w:hint="eastAsia" w:ascii="宋体" w:hAnsi="宋体" w:eastAsia="宋体" w:cs="宋体"/>
          <w:color w:val="000000" w:themeColor="text1"/>
          <w:kern w:val="1"/>
          <w:sz w:val="28"/>
          <w:szCs w:val="28"/>
          <w:lang w:eastAsia="zh-CN"/>
          <w14:textFill>
            <w14:solidFill>
              <w14:schemeClr w14:val="tx1"/>
            </w14:solidFill>
          </w14:textFill>
        </w:rPr>
        <w:t>在职人员工资调整，人员经费增加，支出增加</w:t>
      </w:r>
      <w:r>
        <w:rPr>
          <w:rFonts w:hint="eastAsia" w:ascii="宋体" w:hAnsi="宋体" w:eastAsia="宋体"/>
          <w:color w:val="333333"/>
          <w:sz w:val="28"/>
          <w:szCs w:val="28"/>
          <w:shd w:val="clear" w:color="auto" w:fill="FFFFFF"/>
        </w:rPr>
        <w:t>。</w:t>
      </w:r>
    </w:p>
    <w:p w14:paraId="42D12C04">
      <w:pPr>
        <w:keepNext w:val="0"/>
        <w:keepLines w:val="0"/>
        <w:pageBreakBefore w:val="0"/>
        <w:widowControl/>
        <w:shd w:val="clear" w:color="auto" w:fill="FFFFFF"/>
        <w:kinsoku/>
        <w:wordWrap/>
        <w:overflowPunct/>
        <w:topLinePunct w:val="0"/>
        <w:autoSpaceDE/>
        <w:autoSpaceDN/>
        <w:bidi w:val="0"/>
        <w:adjustRightInd/>
        <w:spacing w:line="480" w:lineRule="auto"/>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二、机关运行经费预算安排及增减变化情况</w:t>
      </w:r>
    </w:p>
    <w:p w14:paraId="03CE0218">
      <w:pPr>
        <w:widowControl/>
        <w:shd w:val="clear" w:color="auto" w:fill="FFFFFF"/>
        <w:spacing w:line="480" w:lineRule="auto"/>
        <w:ind w:firstLine="560" w:firstLineChars="200"/>
        <w:jc w:val="left"/>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年机关运行经费预算总额</w:t>
      </w:r>
      <w:r>
        <w:rPr>
          <w:rFonts w:hint="eastAsia" w:ascii="宋体" w:hAnsi="宋体" w:eastAsia="宋体" w:cs="宋体"/>
          <w:color w:val="000000" w:themeColor="text1"/>
          <w:kern w:val="1"/>
          <w:sz w:val="28"/>
          <w:szCs w:val="28"/>
          <w:lang w:val="en-US" w:eastAsia="zh-CN"/>
          <w14:textFill>
            <w14:solidFill>
              <w14:schemeClr w14:val="tx1"/>
            </w14:solidFill>
          </w14:textFill>
        </w:rPr>
        <w:t>13.54</w:t>
      </w:r>
      <w:r>
        <w:rPr>
          <w:rFonts w:hint="eastAsia" w:ascii="宋体" w:hAnsi="宋体" w:eastAsia="宋体" w:cs="宋体"/>
          <w:color w:val="000000" w:themeColor="text1"/>
          <w:kern w:val="1"/>
          <w:sz w:val="28"/>
          <w:szCs w:val="28"/>
          <w14:textFill>
            <w14:solidFill>
              <w14:schemeClr w14:val="tx1"/>
            </w14:solidFill>
          </w14:textFill>
        </w:rPr>
        <w:t>万元，比上年预算增加</w:t>
      </w:r>
      <w:r>
        <w:rPr>
          <w:rFonts w:hint="eastAsia" w:ascii="宋体" w:hAnsi="宋体" w:eastAsia="宋体" w:cs="宋体"/>
          <w:color w:val="000000" w:themeColor="text1"/>
          <w:kern w:val="1"/>
          <w:sz w:val="28"/>
          <w:szCs w:val="28"/>
          <w:lang w:val="en-US" w:eastAsia="zh-CN"/>
          <w14:textFill>
            <w14:solidFill>
              <w14:schemeClr w14:val="tx1"/>
            </w14:solidFill>
          </w14:textFill>
        </w:rPr>
        <w:t>0.1</w:t>
      </w:r>
      <w:r>
        <w:rPr>
          <w:rFonts w:hint="eastAsia" w:ascii="宋体" w:hAnsi="宋体" w:eastAsia="宋体" w:cs="宋体"/>
          <w:color w:val="000000" w:themeColor="text1"/>
          <w:kern w:val="1"/>
          <w:sz w:val="28"/>
          <w:szCs w:val="28"/>
          <w14:textFill>
            <w14:solidFill>
              <w14:schemeClr w14:val="tx1"/>
            </w14:solidFill>
          </w14:textFill>
        </w:rPr>
        <w:t>万元，增长</w:t>
      </w:r>
      <w:r>
        <w:rPr>
          <w:rFonts w:hint="eastAsia" w:ascii="宋体" w:hAnsi="宋体" w:eastAsia="宋体" w:cs="宋体"/>
          <w:color w:val="000000" w:themeColor="text1"/>
          <w:kern w:val="1"/>
          <w:sz w:val="28"/>
          <w:szCs w:val="28"/>
          <w:lang w:val="en-US" w:eastAsia="zh-CN"/>
          <w14:textFill>
            <w14:solidFill>
              <w14:schemeClr w14:val="tx1"/>
            </w14:solidFill>
          </w14:textFill>
        </w:rPr>
        <w:t>0.07</w:t>
      </w:r>
      <w:r>
        <w:rPr>
          <w:rFonts w:hint="eastAsia" w:ascii="宋体" w:hAnsi="宋体" w:eastAsia="宋体" w:cs="宋体"/>
          <w:color w:val="000000" w:themeColor="text1"/>
          <w:kern w:val="1"/>
          <w:sz w:val="28"/>
          <w:szCs w:val="28"/>
          <w14:textFill>
            <w14:solidFill>
              <w14:schemeClr w14:val="tx1"/>
            </w14:solidFill>
          </w14:textFill>
        </w:rPr>
        <w:t>%。其中：办公费</w:t>
      </w:r>
      <w:r>
        <w:rPr>
          <w:rFonts w:hint="eastAsia" w:ascii="宋体" w:hAnsi="宋体" w:eastAsia="宋体" w:cs="宋体"/>
          <w:color w:val="000000" w:themeColor="text1"/>
          <w:kern w:val="1"/>
          <w:sz w:val="28"/>
          <w:szCs w:val="28"/>
          <w:lang w:val="en-US" w:eastAsia="zh-CN"/>
          <w14:textFill>
            <w14:solidFill>
              <w14:schemeClr w14:val="tx1"/>
            </w14:solidFill>
          </w14:textFill>
        </w:rPr>
        <w:t>2.75</w:t>
      </w:r>
      <w:r>
        <w:rPr>
          <w:rFonts w:hint="eastAsia" w:ascii="宋体" w:hAnsi="宋体" w:eastAsia="宋体" w:cs="宋体"/>
          <w:color w:val="000000" w:themeColor="text1"/>
          <w:kern w:val="1"/>
          <w:sz w:val="28"/>
          <w:szCs w:val="28"/>
          <w14:textFill>
            <w14:solidFill>
              <w14:schemeClr w14:val="tx1"/>
            </w14:solidFill>
          </w14:textFill>
        </w:rPr>
        <w:t>万元、印刷费</w:t>
      </w:r>
      <w:r>
        <w:rPr>
          <w:rFonts w:hint="eastAsia" w:ascii="宋体" w:hAnsi="宋体" w:eastAsia="宋体" w:cs="宋体"/>
          <w:color w:val="000000" w:themeColor="text1"/>
          <w:kern w:val="1"/>
          <w:sz w:val="28"/>
          <w:szCs w:val="28"/>
          <w:lang w:val="en-US" w:eastAsia="zh-CN"/>
          <w14:textFill>
            <w14:solidFill>
              <w14:schemeClr w14:val="tx1"/>
            </w14:solidFill>
          </w14:textFill>
        </w:rPr>
        <w:t>0.55</w:t>
      </w:r>
      <w:r>
        <w:rPr>
          <w:rFonts w:hint="eastAsia" w:ascii="宋体" w:hAnsi="宋体" w:eastAsia="宋体" w:cs="宋体"/>
          <w:color w:val="000000" w:themeColor="text1"/>
          <w:kern w:val="1"/>
          <w:sz w:val="28"/>
          <w:szCs w:val="28"/>
          <w14:textFill>
            <w14:solidFill>
              <w14:schemeClr w14:val="tx1"/>
            </w14:solidFill>
          </w14:textFill>
        </w:rPr>
        <w:t>万元、水费</w:t>
      </w:r>
      <w:r>
        <w:rPr>
          <w:rFonts w:hint="eastAsia" w:ascii="宋体" w:hAnsi="宋体" w:eastAsia="宋体" w:cs="宋体"/>
          <w:color w:val="000000" w:themeColor="text1"/>
          <w:kern w:val="1"/>
          <w:sz w:val="28"/>
          <w:szCs w:val="28"/>
          <w:lang w:val="en-US" w:eastAsia="zh-CN"/>
          <w14:textFill>
            <w14:solidFill>
              <w14:schemeClr w14:val="tx1"/>
            </w14:solidFill>
          </w14:textFill>
        </w:rPr>
        <w:t>0.22</w:t>
      </w:r>
      <w:r>
        <w:rPr>
          <w:rFonts w:hint="eastAsia" w:ascii="宋体" w:hAnsi="宋体" w:eastAsia="宋体" w:cs="宋体"/>
          <w:color w:val="000000" w:themeColor="text1"/>
          <w:kern w:val="1"/>
          <w:sz w:val="28"/>
          <w:szCs w:val="28"/>
          <w14:textFill>
            <w14:solidFill>
              <w14:schemeClr w14:val="tx1"/>
            </w14:solidFill>
          </w14:textFill>
        </w:rPr>
        <w:t>万元、电费</w:t>
      </w:r>
      <w:r>
        <w:rPr>
          <w:rFonts w:hint="eastAsia" w:ascii="宋体" w:hAnsi="宋体" w:eastAsia="宋体" w:cs="宋体"/>
          <w:color w:val="000000" w:themeColor="text1"/>
          <w:kern w:val="1"/>
          <w:sz w:val="28"/>
          <w:szCs w:val="28"/>
          <w:lang w:val="en-US" w:eastAsia="zh-CN"/>
          <w14:textFill>
            <w14:solidFill>
              <w14:schemeClr w14:val="tx1"/>
            </w14:solidFill>
          </w14:textFill>
        </w:rPr>
        <w:t>0.88</w:t>
      </w:r>
      <w:r>
        <w:rPr>
          <w:rFonts w:hint="eastAsia" w:ascii="宋体" w:hAnsi="宋体" w:eastAsia="宋体" w:cs="宋体"/>
          <w:color w:val="000000" w:themeColor="text1"/>
          <w:kern w:val="1"/>
          <w:sz w:val="28"/>
          <w:szCs w:val="28"/>
          <w14:textFill>
            <w14:solidFill>
              <w14:schemeClr w14:val="tx1"/>
            </w14:solidFill>
          </w14:textFill>
        </w:rPr>
        <w:t>万元、邮电费</w:t>
      </w:r>
      <w:r>
        <w:rPr>
          <w:rFonts w:hint="eastAsia" w:ascii="宋体" w:hAnsi="宋体" w:eastAsia="宋体" w:cs="宋体"/>
          <w:color w:val="000000" w:themeColor="text1"/>
          <w:kern w:val="1"/>
          <w:sz w:val="28"/>
          <w:szCs w:val="28"/>
          <w:lang w:val="en-US" w:eastAsia="zh-CN"/>
          <w14:textFill>
            <w14:solidFill>
              <w14:schemeClr w14:val="tx1"/>
            </w14:solidFill>
          </w14:textFill>
        </w:rPr>
        <w:t>1.1</w:t>
      </w:r>
      <w:r>
        <w:rPr>
          <w:rFonts w:hint="eastAsia" w:ascii="宋体" w:hAnsi="宋体" w:eastAsia="宋体" w:cs="宋体"/>
          <w:color w:val="000000" w:themeColor="text1"/>
          <w:kern w:val="1"/>
          <w:sz w:val="28"/>
          <w:szCs w:val="28"/>
          <w14:textFill>
            <w14:solidFill>
              <w14:schemeClr w14:val="tx1"/>
            </w14:solidFill>
          </w14:textFill>
        </w:rPr>
        <w:t>万元、报刊费</w:t>
      </w:r>
      <w:r>
        <w:rPr>
          <w:rFonts w:hint="eastAsia" w:ascii="宋体" w:hAnsi="宋体" w:eastAsia="宋体" w:cs="宋体"/>
          <w:color w:val="000000" w:themeColor="text1"/>
          <w:kern w:val="1"/>
          <w:sz w:val="28"/>
          <w:szCs w:val="28"/>
          <w:lang w:val="en-US" w:eastAsia="zh-CN"/>
          <w14:textFill>
            <w14:solidFill>
              <w14:schemeClr w14:val="tx1"/>
            </w14:solidFill>
          </w14:textFill>
        </w:rPr>
        <w:t>0.33</w:t>
      </w:r>
      <w:r>
        <w:rPr>
          <w:rFonts w:hint="eastAsia" w:ascii="宋体" w:hAnsi="宋体" w:eastAsia="宋体" w:cs="宋体"/>
          <w:color w:val="000000" w:themeColor="text1"/>
          <w:kern w:val="1"/>
          <w:sz w:val="28"/>
          <w:szCs w:val="28"/>
          <w14:textFill>
            <w14:solidFill>
              <w14:schemeClr w14:val="tx1"/>
            </w14:solidFill>
          </w14:textFill>
        </w:rPr>
        <w:t>万元、差旅费</w:t>
      </w:r>
      <w:r>
        <w:rPr>
          <w:rFonts w:hint="eastAsia" w:ascii="宋体" w:hAnsi="宋体" w:eastAsia="宋体" w:cs="宋体"/>
          <w:color w:val="000000" w:themeColor="text1"/>
          <w:kern w:val="1"/>
          <w:sz w:val="28"/>
          <w:szCs w:val="28"/>
          <w:lang w:val="en-US" w:eastAsia="zh-CN"/>
          <w14:textFill>
            <w14:solidFill>
              <w14:schemeClr w14:val="tx1"/>
            </w14:solidFill>
          </w14:textFill>
        </w:rPr>
        <w:t>2.2</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olor w:val="333333"/>
          <w:sz w:val="28"/>
          <w:szCs w:val="28"/>
          <w:shd w:val="clear" w:color="auto" w:fill="FFFFFF"/>
          <w:lang w:eastAsia="zh-CN"/>
        </w:rPr>
        <w:t>、维护费</w:t>
      </w:r>
      <w:r>
        <w:rPr>
          <w:rFonts w:hint="eastAsia" w:ascii="宋体" w:hAnsi="宋体" w:eastAsia="宋体"/>
          <w:color w:val="333333"/>
          <w:sz w:val="28"/>
          <w:szCs w:val="28"/>
          <w:shd w:val="clear" w:color="auto" w:fill="FFFFFF"/>
          <w:lang w:val="en-US" w:eastAsia="zh-CN"/>
        </w:rPr>
        <w:t>0.33万元、会议费0.55万元 培训费0.22万元、公务接待费0.22万元、工会经费0.89万元、</w:t>
      </w:r>
      <w:r>
        <w:rPr>
          <w:rFonts w:hint="eastAsia" w:ascii="宋体" w:hAnsi="宋体" w:eastAsia="宋体"/>
          <w:color w:val="auto"/>
          <w:sz w:val="28"/>
          <w:szCs w:val="28"/>
          <w:shd w:val="clear" w:color="auto" w:fill="FFFFFF"/>
          <w:lang w:val="en-US" w:eastAsia="zh-CN"/>
        </w:rPr>
        <w:t>其他商品和服务支出3.3万元</w:t>
      </w:r>
      <w:r>
        <w:rPr>
          <w:rFonts w:hint="eastAsia" w:ascii="宋体" w:hAnsi="宋体" w:eastAsia="宋体"/>
          <w:color w:val="333333"/>
          <w:sz w:val="28"/>
          <w:szCs w:val="28"/>
          <w:shd w:val="clear" w:color="auto" w:fill="FFFFFF"/>
        </w:rPr>
        <w:t>。增长主要原因是</w:t>
      </w:r>
      <w:r>
        <w:rPr>
          <w:rFonts w:hint="eastAsia" w:ascii="宋体" w:hAnsi="宋体" w:eastAsia="宋体" w:cs="宋体"/>
          <w:color w:val="000000" w:themeColor="text1"/>
          <w:kern w:val="1"/>
          <w:sz w:val="28"/>
          <w:szCs w:val="28"/>
          <w:lang w:eastAsia="zh-CN"/>
          <w14:textFill>
            <w14:solidFill>
              <w14:schemeClr w14:val="tx1"/>
            </w14:solidFill>
          </w14:textFill>
        </w:rPr>
        <w:t>在职人员工资调整，人员经费增加，工会经费增加</w:t>
      </w:r>
      <w:r>
        <w:rPr>
          <w:rFonts w:hint="eastAsia" w:ascii="宋体" w:hAnsi="宋体" w:eastAsia="宋体"/>
          <w:color w:val="333333"/>
          <w:sz w:val="28"/>
          <w:szCs w:val="28"/>
          <w:shd w:val="clear" w:color="auto" w:fill="FFFFFF"/>
        </w:rPr>
        <w:t>。</w:t>
      </w:r>
    </w:p>
    <w:p w14:paraId="255D9769">
      <w:pPr>
        <w:keepNext w:val="0"/>
        <w:keepLines w:val="0"/>
        <w:pageBreakBefore w:val="0"/>
        <w:widowControl/>
        <w:shd w:val="clear" w:color="auto" w:fill="FFFFFF"/>
        <w:kinsoku/>
        <w:wordWrap/>
        <w:overflowPunct/>
        <w:topLinePunct w:val="0"/>
        <w:autoSpaceDE/>
        <w:autoSpaceDN/>
        <w:bidi w:val="0"/>
        <w:adjustRightInd/>
        <w:spacing w:line="480" w:lineRule="auto"/>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三、一般公共预算“三公”经费及增减变化情况</w:t>
      </w:r>
    </w:p>
    <w:p w14:paraId="05E79FA1">
      <w:pPr>
        <w:widowControl/>
        <w:shd w:val="clear" w:color="auto" w:fill="FFFFFF"/>
        <w:spacing w:line="480" w:lineRule="auto"/>
        <w:ind w:firstLine="560" w:firstLineChars="200"/>
        <w:jc w:val="left"/>
        <w:rPr>
          <w:rFonts w:hint="eastAsia" w:ascii="宋体" w:hAnsi="宋体" w:eastAsia="宋体"/>
          <w:color w:val="333333"/>
          <w:sz w:val="28"/>
          <w:szCs w:val="28"/>
          <w:shd w:val="clear" w:color="auto" w:fill="FFFFFF"/>
          <w:lang w:eastAsia="zh-CN"/>
        </w:rPr>
      </w:pPr>
      <w:r>
        <w:rPr>
          <w:rFonts w:hint="eastAsia" w:ascii="宋体" w:hAnsi="宋体" w:eastAsia="宋体"/>
          <w:color w:val="333333"/>
          <w:sz w:val="28"/>
          <w:szCs w:val="28"/>
          <w:shd w:val="clear" w:color="auto" w:fill="FFFFFF"/>
          <w:lang w:eastAsia="zh-CN"/>
        </w:rPr>
        <w:t>202</w:t>
      </w:r>
      <w:r>
        <w:rPr>
          <w:rFonts w:hint="eastAsia" w:ascii="宋体" w:hAnsi="宋体" w:eastAsia="宋体"/>
          <w:color w:val="333333"/>
          <w:sz w:val="28"/>
          <w:szCs w:val="28"/>
          <w:shd w:val="clear" w:color="auto" w:fill="FFFFFF"/>
          <w:lang w:val="en-US" w:eastAsia="zh-CN"/>
        </w:rPr>
        <w:t>6</w:t>
      </w:r>
      <w:r>
        <w:rPr>
          <w:rFonts w:hint="eastAsia" w:ascii="宋体" w:hAnsi="宋体" w:eastAsia="宋体"/>
          <w:color w:val="333333"/>
          <w:sz w:val="28"/>
          <w:szCs w:val="28"/>
          <w:shd w:val="clear" w:color="auto" w:fill="FFFFFF"/>
        </w:rPr>
        <w:t>年“三公”经费预算</w:t>
      </w:r>
      <w:r>
        <w:rPr>
          <w:rFonts w:hint="eastAsia" w:ascii="宋体" w:hAnsi="宋体" w:eastAsia="宋体"/>
          <w:color w:val="333333"/>
          <w:sz w:val="28"/>
          <w:szCs w:val="28"/>
          <w:shd w:val="clear" w:color="auto" w:fill="FFFFFF"/>
          <w:lang w:val="en-US" w:eastAsia="zh-CN"/>
        </w:rPr>
        <w:t>0.22</w:t>
      </w:r>
      <w:r>
        <w:rPr>
          <w:rFonts w:hint="eastAsia" w:ascii="宋体" w:hAnsi="宋体" w:eastAsia="宋体"/>
          <w:color w:val="333333"/>
          <w:sz w:val="28"/>
          <w:szCs w:val="28"/>
          <w:shd w:val="clear" w:color="auto" w:fill="FFFFFF"/>
        </w:rPr>
        <w:t>万元，较上年预算</w:t>
      </w:r>
      <w:r>
        <w:rPr>
          <w:rFonts w:hint="eastAsia" w:ascii="宋体" w:hAnsi="宋体" w:eastAsia="宋体"/>
          <w:color w:val="333333"/>
          <w:sz w:val="28"/>
          <w:szCs w:val="28"/>
          <w:shd w:val="clear" w:color="auto" w:fill="FFFFFF"/>
          <w:lang w:eastAsia="zh-CN"/>
        </w:rPr>
        <w:t>无变化。</w:t>
      </w:r>
    </w:p>
    <w:p w14:paraId="751C2FF4">
      <w:pPr>
        <w:keepNext w:val="0"/>
        <w:keepLines w:val="0"/>
        <w:pageBreakBefore w:val="0"/>
        <w:widowControl/>
        <w:shd w:val="clear" w:color="auto" w:fill="FFFFFF"/>
        <w:kinsoku/>
        <w:wordWrap/>
        <w:overflowPunct/>
        <w:topLinePunct w:val="0"/>
        <w:autoSpaceDE/>
        <w:autoSpaceDN/>
        <w:bidi w:val="0"/>
        <w:adjustRightInd/>
        <w:spacing w:line="480" w:lineRule="auto"/>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四、政府采购预算安排情况</w:t>
      </w:r>
    </w:p>
    <w:p w14:paraId="39C0911F">
      <w:pPr>
        <w:keepNext w:val="0"/>
        <w:keepLines w:val="0"/>
        <w:pageBreakBefore w:val="0"/>
        <w:widowControl/>
        <w:shd w:val="clear" w:color="auto" w:fill="FFFFFF"/>
        <w:kinsoku/>
        <w:wordWrap/>
        <w:overflowPunct/>
        <w:topLinePunct w:val="0"/>
        <w:autoSpaceDE/>
        <w:autoSpaceDN/>
        <w:bidi w:val="0"/>
        <w:adjustRightInd/>
        <w:snapToGrid/>
        <w:spacing w:line="480" w:lineRule="auto"/>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w:t>
      </w:r>
      <w:r>
        <w:rPr>
          <w:rFonts w:hint="eastAsia" w:ascii="宋体" w:hAnsi="宋体" w:eastAsia="宋体"/>
          <w:color w:val="333333"/>
          <w:sz w:val="28"/>
          <w:szCs w:val="28"/>
          <w:shd w:val="clear" w:color="auto" w:fill="FFFFFF"/>
        </w:rPr>
        <w:t>政府采购预算</w:t>
      </w:r>
      <w:r>
        <w:rPr>
          <w:rFonts w:hint="eastAsia" w:ascii="宋体" w:hAnsi="宋体" w:eastAsia="宋体"/>
          <w:color w:val="333333"/>
          <w:sz w:val="28"/>
          <w:szCs w:val="28"/>
          <w:shd w:val="clear" w:color="auto" w:fill="FFFFFF"/>
          <w:lang w:val="en-US" w:eastAsia="zh-CN"/>
        </w:rPr>
        <w:t>0</w:t>
      </w:r>
      <w:r>
        <w:rPr>
          <w:rFonts w:hint="eastAsia" w:ascii="宋体" w:hAnsi="宋体" w:eastAsia="宋体"/>
          <w:color w:val="333333"/>
          <w:sz w:val="28"/>
          <w:szCs w:val="28"/>
          <w:shd w:val="clear" w:color="auto" w:fill="FFFFFF"/>
        </w:rPr>
        <w:t>万元，较上年增加</w:t>
      </w:r>
      <w:r>
        <w:rPr>
          <w:rFonts w:hint="eastAsia" w:ascii="宋体" w:hAnsi="宋体" w:eastAsia="宋体"/>
          <w:color w:val="333333"/>
          <w:sz w:val="28"/>
          <w:szCs w:val="28"/>
          <w:shd w:val="clear" w:color="auto" w:fill="FFFFFF"/>
          <w:lang w:val="en-US" w:eastAsia="zh-CN"/>
        </w:rPr>
        <w:t>0</w:t>
      </w:r>
      <w:r>
        <w:rPr>
          <w:rFonts w:hint="eastAsia" w:ascii="宋体" w:hAnsi="宋体" w:eastAsia="宋体"/>
          <w:color w:val="333333"/>
          <w:sz w:val="28"/>
          <w:szCs w:val="28"/>
          <w:shd w:val="clear" w:color="auto" w:fill="FFFFFF"/>
        </w:rPr>
        <w:t>万元，增长</w:t>
      </w:r>
      <w:r>
        <w:rPr>
          <w:rFonts w:hint="eastAsia" w:ascii="宋体" w:hAnsi="宋体" w:eastAsia="宋体"/>
          <w:color w:val="333333"/>
          <w:sz w:val="28"/>
          <w:szCs w:val="28"/>
          <w:shd w:val="clear" w:color="auto" w:fill="FFFFFF"/>
          <w:lang w:val="en-US" w:eastAsia="zh-CN"/>
        </w:rPr>
        <w:t>100</w:t>
      </w:r>
      <w:r>
        <w:rPr>
          <w:rFonts w:hint="eastAsia" w:ascii="宋体" w:hAnsi="宋体" w:eastAsia="宋体"/>
          <w:color w:val="333333"/>
          <w:sz w:val="28"/>
          <w:szCs w:val="28"/>
          <w:shd w:val="clear" w:color="auto" w:fill="FFFFFF"/>
        </w:rPr>
        <w:t>%。</w:t>
      </w:r>
    </w:p>
    <w:p w14:paraId="4F70170A">
      <w:pPr>
        <w:keepNext w:val="0"/>
        <w:keepLines w:val="0"/>
        <w:pageBreakBefore w:val="0"/>
        <w:widowControl/>
        <w:shd w:val="clear" w:color="auto" w:fill="FFFFFF"/>
        <w:kinsoku/>
        <w:wordWrap/>
        <w:overflowPunct/>
        <w:topLinePunct w:val="0"/>
        <w:autoSpaceDE/>
        <w:autoSpaceDN/>
        <w:bidi w:val="0"/>
        <w:adjustRightInd/>
        <w:spacing w:line="480" w:lineRule="auto"/>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五、国有资产占用情况</w:t>
      </w:r>
    </w:p>
    <w:p w14:paraId="2EA4821A">
      <w:pPr>
        <w:widowControl/>
        <w:shd w:val="clear" w:color="auto" w:fill="FFFFFF"/>
        <w:spacing w:line="480" w:lineRule="auto"/>
        <w:ind w:firstLine="560" w:firstLineChars="200"/>
        <w:jc w:val="left"/>
        <w:rPr>
          <w:rFonts w:hint="eastAsia"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截至上年底，本部门占有使用国有资产</w:t>
      </w:r>
      <w:r>
        <w:rPr>
          <w:rFonts w:hint="eastAsia" w:ascii="宋体" w:hAnsi="宋体" w:eastAsia="宋体"/>
          <w:color w:val="333333"/>
          <w:sz w:val="28"/>
          <w:szCs w:val="28"/>
          <w:shd w:val="clear" w:color="auto" w:fill="FFFFFF"/>
          <w:lang w:val="en-US" w:eastAsia="zh-CN"/>
        </w:rPr>
        <w:t>7.228</w:t>
      </w:r>
      <w:r>
        <w:rPr>
          <w:rFonts w:hint="eastAsia" w:ascii="宋体" w:hAnsi="宋体" w:eastAsia="宋体"/>
          <w:color w:val="333333"/>
          <w:sz w:val="28"/>
          <w:szCs w:val="28"/>
          <w:shd w:val="clear" w:color="auto" w:fill="FFFFFF"/>
        </w:rPr>
        <w:t>万元，主要资产为</w:t>
      </w:r>
      <w:r>
        <w:rPr>
          <w:rFonts w:hint="eastAsia" w:ascii="宋体" w:hAnsi="宋体" w:eastAsia="宋体"/>
          <w:color w:val="333333"/>
          <w:sz w:val="28"/>
          <w:szCs w:val="28"/>
          <w:shd w:val="clear" w:color="auto" w:fill="FFFFFF"/>
          <w:lang w:eastAsia="zh-CN"/>
        </w:rPr>
        <w:t>办公家具和办公设备</w:t>
      </w:r>
      <w:r>
        <w:rPr>
          <w:rFonts w:hint="eastAsia" w:ascii="宋体" w:hAnsi="宋体" w:eastAsia="宋体"/>
          <w:color w:val="333333"/>
          <w:sz w:val="28"/>
          <w:szCs w:val="28"/>
          <w:shd w:val="clear" w:color="auto" w:fill="FFFFFF"/>
        </w:rPr>
        <w:t>：</w:t>
      </w:r>
      <w:r>
        <w:rPr>
          <w:rFonts w:hint="eastAsia" w:ascii="宋体" w:hAnsi="宋体" w:eastAsia="宋体"/>
          <w:color w:val="333333"/>
          <w:sz w:val="28"/>
          <w:szCs w:val="28"/>
          <w:shd w:val="clear" w:color="auto" w:fill="FFFFFF"/>
          <w:lang w:eastAsia="zh-CN"/>
        </w:rPr>
        <w:t>办公桌</w:t>
      </w:r>
      <w:r>
        <w:rPr>
          <w:rFonts w:hint="eastAsia" w:ascii="宋体" w:hAnsi="宋体" w:eastAsia="宋体"/>
          <w:color w:val="333333"/>
          <w:sz w:val="28"/>
          <w:szCs w:val="28"/>
          <w:shd w:val="clear" w:color="auto" w:fill="FFFFFF"/>
          <w:lang w:val="en-US" w:eastAsia="zh-CN"/>
        </w:rPr>
        <w:t>13张、办公椅13把、茶水柜3个、铁皮文件柜3个、书柜3个、沙发3条、台式电脑7台、打印机3台、凭证装订机1台、空调2台</w:t>
      </w:r>
      <w:r>
        <w:rPr>
          <w:rFonts w:hint="eastAsia" w:ascii="宋体" w:hAnsi="宋体" w:eastAsia="宋体"/>
          <w:color w:val="333333"/>
          <w:sz w:val="28"/>
          <w:szCs w:val="28"/>
          <w:shd w:val="clear" w:color="auto" w:fill="FFFFFF"/>
        </w:rPr>
        <w:t>。</w:t>
      </w:r>
    </w:p>
    <w:p w14:paraId="74F987A9">
      <w:pPr>
        <w:keepNext w:val="0"/>
        <w:keepLines w:val="0"/>
        <w:pageBreakBefore w:val="0"/>
        <w:widowControl/>
        <w:shd w:val="clear" w:color="auto" w:fill="FFFFFF"/>
        <w:kinsoku/>
        <w:wordWrap/>
        <w:overflowPunct/>
        <w:topLinePunct w:val="0"/>
        <w:autoSpaceDE/>
        <w:autoSpaceDN/>
        <w:bidi w:val="0"/>
        <w:adjustRightInd/>
        <w:spacing w:line="480" w:lineRule="auto"/>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六、重点项目预算的绩效目标</w:t>
      </w:r>
    </w:p>
    <w:p w14:paraId="5EDE8DEC">
      <w:pPr>
        <w:widowControl/>
        <w:shd w:val="clear" w:color="auto" w:fill="FFFFFF"/>
        <w:spacing w:line="480" w:lineRule="auto"/>
        <w:ind w:firstLine="420" w:firstLineChars="150"/>
        <w:jc w:val="left"/>
        <w:rPr>
          <w:rFonts w:hint="eastAsia" w:ascii="宋体" w:hAnsi="宋体" w:eastAsia="宋体"/>
          <w:color w:val="auto"/>
          <w:sz w:val="28"/>
          <w:szCs w:val="28"/>
          <w:shd w:val="clear" w:color="auto" w:fill="FFFFFF"/>
          <w:lang w:val="en-US" w:eastAsia="zh-CN"/>
        </w:rPr>
      </w:pPr>
      <w:r>
        <w:rPr>
          <w:rFonts w:hint="eastAsia" w:ascii="宋体" w:hAnsi="宋体" w:eastAsia="宋体"/>
          <w:color w:val="auto"/>
          <w:sz w:val="28"/>
          <w:szCs w:val="28"/>
          <w:shd w:val="clear" w:color="auto" w:fill="FFFFFF"/>
          <w:lang w:val="en-US" w:eastAsia="zh-CN"/>
        </w:rPr>
        <w:t>本单位无重点项目为金额50万以上项目</w:t>
      </w:r>
    </w:p>
    <w:p w14:paraId="4E84BC0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4C0F13A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5737746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783E257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2EF832D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4289092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75EBED0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4C55DD85">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p>
    <w:p w14:paraId="083AFF4A">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bookmarkStart w:id="0" w:name="_GoBack"/>
      <w:bookmarkEnd w:id="0"/>
      <w:r>
        <w:rPr>
          <w:rFonts w:hint="eastAsia" w:ascii="宋体" w:hAnsi="宋体" w:eastAsia="宋体"/>
          <w:b/>
          <w:color w:val="333333"/>
          <w:sz w:val="28"/>
          <w:szCs w:val="28"/>
          <w:shd w:val="clear" w:color="auto" w:fill="FFFFFF"/>
        </w:rPr>
        <w:t>第三部分　</w:t>
      </w:r>
      <w:r>
        <w:rPr>
          <w:rFonts w:hint="eastAsia" w:ascii="宋体" w:hAnsi="宋体" w:eastAsia="宋体"/>
          <w:b/>
          <w:color w:val="333333"/>
          <w:sz w:val="28"/>
          <w:szCs w:val="28"/>
          <w:shd w:val="clear" w:color="auto" w:fill="FFFFFF"/>
          <w:lang w:eastAsia="zh-CN"/>
        </w:rPr>
        <w:t>202</w:t>
      </w:r>
      <w:r>
        <w:rPr>
          <w:rFonts w:hint="eastAsia" w:ascii="宋体" w:hAnsi="宋体" w:eastAsia="宋体"/>
          <w:b/>
          <w:color w:val="333333"/>
          <w:sz w:val="28"/>
          <w:szCs w:val="28"/>
          <w:shd w:val="clear" w:color="auto" w:fill="FFFFFF"/>
          <w:lang w:val="en-US" w:eastAsia="zh-CN"/>
        </w:rPr>
        <w:t>6</w:t>
      </w:r>
      <w:r>
        <w:rPr>
          <w:rFonts w:hint="eastAsia" w:ascii="宋体" w:hAnsi="宋体" w:eastAsia="宋体"/>
          <w:b/>
          <w:color w:val="333333"/>
          <w:sz w:val="28"/>
          <w:szCs w:val="28"/>
          <w:shd w:val="clear" w:color="auto" w:fill="FFFFFF"/>
        </w:rPr>
        <w:t>年部门预算公开表</w:t>
      </w:r>
    </w:p>
    <w:p w14:paraId="200797E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附表：</w:t>
      </w:r>
      <w:r>
        <w:rPr>
          <w:rFonts w:hint="eastAsia" w:ascii="宋体" w:hAnsi="宋体" w:eastAsia="宋体" w:cs="宋体"/>
          <w:color w:val="000000" w:themeColor="text1"/>
          <w:kern w:val="1"/>
          <w:sz w:val="28"/>
          <w:szCs w:val="28"/>
          <w:lang w:eastAsia="zh-CN"/>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年部门预算公开表</w:t>
      </w:r>
    </w:p>
    <w:p w14:paraId="6FBE947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kern w:val="1"/>
          <w:sz w:val="28"/>
          <w:szCs w:val="28"/>
          <w:lang w:eastAsia="zh-CN"/>
        </w:rPr>
        <w:t>一、</w:t>
      </w:r>
      <w:r>
        <w:rPr>
          <w:rFonts w:hint="eastAsia" w:ascii="宋体" w:hAnsi="宋体" w:eastAsia="宋体" w:cs="宋体"/>
          <w:kern w:val="1"/>
          <w:sz w:val="28"/>
          <w:szCs w:val="28"/>
        </w:rPr>
        <w:t>部门收支总表</w:t>
      </w:r>
    </w:p>
    <w:p w14:paraId="019C93DF">
      <w:pPr>
        <w:widowControl/>
        <w:shd w:val="clear" w:color="auto" w:fill="FFFFFF"/>
        <w:spacing w:line="360" w:lineRule="auto"/>
        <w:jc w:val="left"/>
        <w:rPr>
          <w:rFonts w:hint="eastAsia" w:ascii="宋体" w:hAnsi="宋体" w:eastAsia="宋体" w:cs="宋体"/>
          <w:kern w:val="1"/>
          <w:sz w:val="28"/>
          <w:szCs w:val="28"/>
        </w:rPr>
      </w:pPr>
      <w:r>
        <w:rPr>
          <w:rFonts w:hint="eastAsia" w:ascii="宋体" w:hAnsi="宋体" w:eastAsia="宋体" w:cs="宋体"/>
          <w:kern w:val="1"/>
          <w:sz w:val="28"/>
          <w:szCs w:val="28"/>
          <w:lang w:eastAsia="zh-CN"/>
        </w:rPr>
        <w:drawing>
          <wp:inline distT="0" distB="0" distL="114300" distR="114300">
            <wp:extent cx="5615305" cy="6965315"/>
            <wp:effectExtent l="0" t="0" r="4445" b="6985"/>
            <wp:docPr id="9" name="图片 9" descr="2JWPAW8030`9RHAQF)LM3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JWPAW8030`9RHAQF)LM3U3"/>
                    <pic:cNvPicPr>
                      <a:picLocks noChangeAspect="1"/>
                    </pic:cNvPicPr>
                  </pic:nvPicPr>
                  <pic:blipFill>
                    <a:blip r:embed="rId5"/>
                    <a:stretch>
                      <a:fillRect/>
                    </a:stretch>
                  </pic:blipFill>
                  <pic:spPr>
                    <a:xfrm>
                      <a:off x="0" y="0"/>
                      <a:ext cx="5615305" cy="6965315"/>
                    </a:xfrm>
                    <a:prstGeom prst="rect">
                      <a:avLst/>
                    </a:prstGeom>
                  </pic:spPr>
                </pic:pic>
              </a:graphicData>
            </a:graphic>
          </wp:inline>
        </w:drawing>
      </w:r>
    </w:p>
    <w:p w14:paraId="7DAE5F3D">
      <w:pPr>
        <w:widowControl/>
        <w:shd w:val="clear" w:color="auto" w:fill="FFFFFF"/>
        <w:spacing w:line="360" w:lineRule="auto"/>
        <w:ind w:firstLine="560" w:firstLineChars="200"/>
        <w:jc w:val="left"/>
        <w:rPr>
          <w:rFonts w:hint="default" w:ascii="宋体" w:hAnsi="宋体" w:eastAsia="宋体"/>
          <w:color w:val="333333"/>
          <w:sz w:val="28"/>
          <w:szCs w:val="28"/>
          <w:shd w:val="clear" w:color="auto" w:fill="FFFFFF"/>
          <w:lang w:val="en-US" w:eastAsia="zh-CN"/>
        </w:rPr>
      </w:pPr>
      <w:r>
        <w:rPr>
          <w:rFonts w:hint="eastAsia" w:ascii="宋体" w:hAnsi="宋体" w:eastAsia="宋体" w:cs="宋体"/>
          <w:kern w:val="1"/>
          <w:sz w:val="28"/>
          <w:szCs w:val="28"/>
        </w:rPr>
        <w:t>二、部门收入总表</w:t>
      </w:r>
    </w:p>
    <w:p w14:paraId="44E50CD9">
      <w:pPr>
        <w:widowControl/>
        <w:shd w:val="clear" w:color="auto" w:fill="FFFFFF"/>
        <w:spacing w:line="360" w:lineRule="auto"/>
        <w:jc w:val="left"/>
        <w:rPr>
          <w:rFonts w:hint="eastAsia" w:ascii="宋体" w:hAnsi="宋体" w:eastAsia="宋体" w:cs="宋体"/>
          <w:kern w:val="1"/>
          <w:sz w:val="28"/>
          <w:szCs w:val="28"/>
          <w:lang w:eastAsia="zh-CN"/>
        </w:rPr>
      </w:pPr>
      <w:r>
        <w:rPr>
          <w:rFonts w:hint="eastAsia" w:ascii="宋体" w:hAnsi="宋体" w:eastAsia="宋体" w:cs="宋体"/>
          <w:kern w:val="1"/>
          <w:sz w:val="28"/>
          <w:szCs w:val="28"/>
          <w:lang w:eastAsia="zh-CN"/>
        </w:rPr>
        <w:drawing>
          <wp:inline distT="0" distB="0" distL="114300" distR="114300">
            <wp:extent cx="5608320" cy="2029460"/>
            <wp:effectExtent l="0" t="0" r="11430" b="8890"/>
            <wp:docPr id="17" name="图片 17" descr="MBQ0T89Q%T9Q%H_[ZUF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MBQ0T89Q%T9Q%H_[ZUFB$`L"/>
                    <pic:cNvPicPr>
                      <a:picLocks noChangeAspect="1"/>
                    </pic:cNvPicPr>
                  </pic:nvPicPr>
                  <pic:blipFill>
                    <a:blip r:embed="rId6"/>
                    <a:stretch>
                      <a:fillRect/>
                    </a:stretch>
                  </pic:blipFill>
                  <pic:spPr>
                    <a:xfrm>
                      <a:off x="0" y="0"/>
                      <a:ext cx="5608320" cy="2029460"/>
                    </a:xfrm>
                    <a:prstGeom prst="rect">
                      <a:avLst/>
                    </a:prstGeom>
                  </pic:spPr>
                </pic:pic>
              </a:graphicData>
            </a:graphic>
          </wp:inline>
        </w:drawing>
      </w:r>
    </w:p>
    <w:p w14:paraId="293DF5FA">
      <w:pPr>
        <w:widowControl/>
        <w:shd w:val="clear" w:color="auto" w:fill="FFFFFF"/>
        <w:spacing w:line="360" w:lineRule="auto"/>
        <w:ind w:firstLine="560" w:firstLineChars="200"/>
        <w:jc w:val="left"/>
        <w:rPr>
          <w:rFonts w:hint="eastAsia" w:ascii="宋体" w:hAnsi="宋体" w:eastAsia="宋体" w:cs="宋体"/>
          <w:kern w:val="1"/>
          <w:sz w:val="28"/>
          <w:szCs w:val="28"/>
        </w:rPr>
      </w:pPr>
    </w:p>
    <w:p w14:paraId="48C2DB67">
      <w:pPr>
        <w:widowControl/>
        <w:shd w:val="clear" w:color="auto" w:fill="FFFFFF"/>
        <w:spacing w:line="360" w:lineRule="auto"/>
        <w:ind w:firstLine="560" w:firstLineChars="200"/>
        <w:jc w:val="left"/>
        <w:rPr>
          <w:rFonts w:hint="eastAsia" w:ascii="宋体" w:hAnsi="宋体" w:eastAsia="宋体" w:cs="宋体"/>
          <w:kern w:val="1"/>
          <w:sz w:val="28"/>
          <w:szCs w:val="28"/>
        </w:rPr>
      </w:pPr>
      <w:r>
        <w:rPr>
          <w:rFonts w:hint="eastAsia" w:ascii="宋体" w:hAnsi="宋体" w:eastAsia="宋体" w:cs="宋体"/>
          <w:kern w:val="1"/>
          <w:sz w:val="28"/>
          <w:szCs w:val="28"/>
        </w:rPr>
        <w:t>三、部门支出总表</w:t>
      </w:r>
    </w:p>
    <w:p w14:paraId="20B1984A">
      <w:pPr>
        <w:widowControl/>
        <w:shd w:val="clear" w:color="auto" w:fill="FFFFFF"/>
        <w:spacing w:line="360" w:lineRule="auto"/>
        <w:jc w:val="left"/>
        <w:rPr>
          <w:rFonts w:hint="eastAsia" w:ascii="宋体" w:hAnsi="宋体" w:eastAsia="宋体" w:cs="宋体"/>
          <w:kern w:val="1"/>
          <w:sz w:val="28"/>
          <w:szCs w:val="28"/>
          <w:lang w:eastAsia="zh-CN"/>
        </w:rPr>
      </w:pPr>
      <w:r>
        <w:rPr>
          <w:rFonts w:hint="eastAsia" w:ascii="宋体" w:hAnsi="宋体" w:eastAsia="宋体" w:cs="宋体"/>
          <w:kern w:val="1"/>
          <w:sz w:val="28"/>
          <w:szCs w:val="28"/>
          <w:lang w:eastAsia="zh-CN"/>
        </w:rPr>
        <w:drawing>
          <wp:inline distT="0" distB="0" distL="114300" distR="114300">
            <wp:extent cx="5614670" cy="4791075"/>
            <wp:effectExtent l="0" t="0" r="5080" b="9525"/>
            <wp:docPr id="11" name="图片 11" descr="GM0JCX%1`)P9S0~0[}0MW3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GM0JCX%1`)P9S0~0[}0MW3U"/>
                    <pic:cNvPicPr>
                      <a:picLocks noChangeAspect="1"/>
                    </pic:cNvPicPr>
                  </pic:nvPicPr>
                  <pic:blipFill>
                    <a:blip r:embed="rId7"/>
                    <a:stretch>
                      <a:fillRect/>
                    </a:stretch>
                  </pic:blipFill>
                  <pic:spPr>
                    <a:xfrm>
                      <a:off x="0" y="0"/>
                      <a:ext cx="5614670" cy="4791075"/>
                    </a:xfrm>
                    <a:prstGeom prst="rect">
                      <a:avLst/>
                    </a:prstGeom>
                  </pic:spPr>
                </pic:pic>
              </a:graphicData>
            </a:graphic>
          </wp:inline>
        </w:drawing>
      </w:r>
    </w:p>
    <w:p w14:paraId="17F344C2">
      <w:pPr>
        <w:widowControl/>
        <w:shd w:val="clear" w:color="auto" w:fill="FFFFFF"/>
        <w:spacing w:line="360" w:lineRule="auto"/>
        <w:ind w:firstLine="560" w:firstLineChars="200"/>
        <w:jc w:val="left"/>
        <w:rPr>
          <w:rFonts w:hint="eastAsia" w:ascii="宋体" w:hAnsi="宋体" w:eastAsia="宋体" w:cs="宋体"/>
          <w:kern w:val="1"/>
          <w:sz w:val="28"/>
          <w:szCs w:val="28"/>
        </w:rPr>
      </w:pPr>
      <w:r>
        <w:rPr>
          <w:rFonts w:hint="eastAsia" w:ascii="宋体" w:hAnsi="宋体" w:eastAsia="宋体" w:cs="宋体"/>
          <w:kern w:val="1"/>
          <w:sz w:val="28"/>
          <w:szCs w:val="28"/>
        </w:rPr>
        <w:t>四、财政拨款收支总表</w:t>
      </w:r>
    </w:p>
    <w:p w14:paraId="5E652AC8">
      <w:pPr>
        <w:widowControl/>
        <w:shd w:val="clear" w:color="auto" w:fill="FFFFFF"/>
        <w:spacing w:line="360" w:lineRule="auto"/>
        <w:jc w:val="left"/>
        <w:rPr>
          <w:rFonts w:hint="eastAsia" w:ascii="宋体" w:hAnsi="宋体" w:eastAsia="宋体" w:cs="宋体"/>
          <w:kern w:val="1"/>
          <w:sz w:val="28"/>
          <w:szCs w:val="28"/>
        </w:rPr>
      </w:pPr>
      <w:r>
        <w:rPr>
          <w:rFonts w:hint="eastAsia" w:ascii="宋体" w:hAnsi="宋体" w:eastAsia="宋体" w:cs="宋体"/>
          <w:kern w:val="1"/>
          <w:sz w:val="28"/>
          <w:szCs w:val="28"/>
        </w:rPr>
        <w:drawing>
          <wp:inline distT="0" distB="0" distL="114300" distR="114300">
            <wp:extent cx="5607685" cy="7324725"/>
            <wp:effectExtent l="0" t="0" r="12065" b="9525"/>
            <wp:docPr id="12" name="图片 12" descr="B5SN})6W6NXCCRPF2RK3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B5SN})6W6NXCCRPF2RK3I@W"/>
                    <pic:cNvPicPr>
                      <a:picLocks noChangeAspect="1"/>
                    </pic:cNvPicPr>
                  </pic:nvPicPr>
                  <pic:blipFill>
                    <a:blip r:embed="rId8"/>
                    <a:stretch>
                      <a:fillRect/>
                    </a:stretch>
                  </pic:blipFill>
                  <pic:spPr>
                    <a:xfrm>
                      <a:off x="0" y="0"/>
                      <a:ext cx="5607685" cy="7324725"/>
                    </a:xfrm>
                    <a:prstGeom prst="rect">
                      <a:avLst/>
                    </a:prstGeom>
                  </pic:spPr>
                </pic:pic>
              </a:graphicData>
            </a:graphic>
          </wp:inline>
        </w:drawing>
      </w:r>
    </w:p>
    <w:p w14:paraId="58B66772">
      <w:pPr>
        <w:widowControl/>
        <w:shd w:val="clear" w:color="auto" w:fill="FFFFFF"/>
        <w:spacing w:line="360" w:lineRule="auto"/>
        <w:jc w:val="left"/>
        <w:rPr>
          <w:rFonts w:hint="eastAsia" w:ascii="宋体" w:hAnsi="宋体" w:eastAsia="宋体" w:cs="宋体"/>
          <w:kern w:val="1"/>
          <w:sz w:val="28"/>
          <w:szCs w:val="28"/>
        </w:rPr>
      </w:pPr>
    </w:p>
    <w:p w14:paraId="0A8ADD34">
      <w:pPr>
        <w:widowControl/>
        <w:shd w:val="clear" w:color="auto" w:fill="FFFFFF"/>
        <w:spacing w:line="360" w:lineRule="auto"/>
        <w:jc w:val="left"/>
        <w:rPr>
          <w:rFonts w:hint="eastAsia"/>
          <w:lang w:val="en-US" w:eastAsia="zh-CN"/>
        </w:rPr>
      </w:pPr>
      <w:r>
        <w:rPr>
          <w:rFonts w:hint="eastAsia" w:ascii="宋体" w:hAnsi="宋体" w:eastAsia="宋体" w:cs="宋体"/>
          <w:kern w:val="1"/>
          <w:sz w:val="28"/>
          <w:szCs w:val="28"/>
        </w:rPr>
        <w:t>五、一般公共预算支出表</w:t>
      </w:r>
    </w:p>
    <w:p w14:paraId="3A8F7352">
      <w:pPr>
        <w:widowControl/>
        <w:shd w:val="clear" w:color="auto" w:fill="FFFFFF"/>
        <w:spacing w:line="360" w:lineRule="auto"/>
        <w:jc w:val="left"/>
        <w:rPr>
          <w:rFonts w:hint="eastAsia" w:ascii="宋体" w:hAnsi="宋体" w:eastAsia="宋体" w:cs="宋体"/>
          <w:kern w:val="1"/>
          <w:sz w:val="28"/>
          <w:szCs w:val="28"/>
          <w:lang w:eastAsia="zh-CN"/>
        </w:rPr>
      </w:pPr>
      <w:r>
        <w:rPr>
          <w:rFonts w:hint="eastAsia" w:ascii="宋体" w:hAnsi="宋体" w:eastAsia="宋体" w:cs="宋体"/>
          <w:kern w:val="1"/>
          <w:sz w:val="28"/>
          <w:szCs w:val="28"/>
          <w:lang w:eastAsia="zh-CN"/>
        </w:rPr>
        <w:drawing>
          <wp:inline distT="0" distB="0" distL="114300" distR="114300">
            <wp:extent cx="5654675" cy="4433570"/>
            <wp:effectExtent l="0" t="0" r="3175" b="5080"/>
            <wp:docPr id="13" name="图片 13" descr="IIMAL5I6GET2M30QI4}J%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IMAL5I6GET2M30QI4}J%QQ"/>
                    <pic:cNvPicPr>
                      <a:picLocks noChangeAspect="1"/>
                    </pic:cNvPicPr>
                  </pic:nvPicPr>
                  <pic:blipFill>
                    <a:blip r:embed="rId9"/>
                    <a:stretch>
                      <a:fillRect/>
                    </a:stretch>
                  </pic:blipFill>
                  <pic:spPr>
                    <a:xfrm>
                      <a:off x="0" y="0"/>
                      <a:ext cx="5654675" cy="4433570"/>
                    </a:xfrm>
                    <a:prstGeom prst="rect">
                      <a:avLst/>
                    </a:prstGeom>
                  </pic:spPr>
                </pic:pic>
              </a:graphicData>
            </a:graphic>
          </wp:inline>
        </w:drawing>
      </w:r>
    </w:p>
    <w:p w14:paraId="4BB877BF">
      <w:pPr>
        <w:widowControl/>
        <w:shd w:val="clear" w:color="auto" w:fill="FFFFFF"/>
        <w:spacing w:line="360" w:lineRule="auto"/>
        <w:ind w:firstLine="560" w:firstLineChars="200"/>
        <w:jc w:val="left"/>
        <w:rPr>
          <w:rFonts w:hint="eastAsia" w:ascii="宋体" w:hAnsi="宋体" w:eastAsia="宋体" w:cs="宋体"/>
          <w:kern w:val="1"/>
          <w:sz w:val="28"/>
          <w:szCs w:val="28"/>
        </w:rPr>
      </w:pPr>
    </w:p>
    <w:p w14:paraId="6C466AD6">
      <w:pPr>
        <w:widowControl/>
        <w:shd w:val="clear" w:color="auto" w:fill="FFFFFF"/>
        <w:spacing w:line="360" w:lineRule="auto"/>
        <w:ind w:firstLine="560" w:firstLineChars="200"/>
        <w:jc w:val="left"/>
        <w:rPr>
          <w:rFonts w:hint="eastAsia" w:ascii="宋体" w:hAnsi="宋体" w:eastAsia="宋体" w:cs="宋体"/>
          <w:kern w:val="1"/>
          <w:sz w:val="28"/>
          <w:szCs w:val="28"/>
        </w:rPr>
      </w:pPr>
    </w:p>
    <w:p w14:paraId="2EF71BC1">
      <w:pPr>
        <w:widowControl/>
        <w:shd w:val="clear" w:color="auto" w:fill="FFFFFF"/>
        <w:spacing w:line="360" w:lineRule="auto"/>
        <w:ind w:firstLine="560" w:firstLineChars="200"/>
        <w:jc w:val="left"/>
        <w:rPr>
          <w:rFonts w:hint="eastAsia" w:ascii="宋体" w:hAnsi="宋体" w:eastAsia="宋体" w:cs="宋体"/>
          <w:kern w:val="1"/>
          <w:sz w:val="28"/>
          <w:szCs w:val="28"/>
        </w:rPr>
      </w:pPr>
    </w:p>
    <w:p w14:paraId="1C08E3F4">
      <w:pPr>
        <w:widowControl/>
        <w:shd w:val="clear" w:color="auto" w:fill="FFFFFF"/>
        <w:spacing w:line="360" w:lineRule="auto"/>
        <w:ind w:firstLine="560" w:firstLineChars="200"/>
        <w:jc w:val="left"/>
        <w:rPr>
          <w:rFonts w:hint="eastAsia" w:ascii="宋体" w:hAnsi="宋体" w:eastAsia="宋体" w:cs="宋体"/>
          <w:kern w:val="1"/>
          <w:sz w:val="28"/>
          <w:szCs w:val="28"/>
        </w:rPr>
      </w:pPr>
    </w:p>
    <w:p w14:paraId="02391647">
      <w:pPr>
        <w:widowControl/>
        <w:shd w:val="clear" w:color="auto" w:fill="FFFFFF"/>
        <w:spacing w:line="360" w:lineRule="auto"/>
        <w:ind w:firstLine="560" w:firstLineChars="200"/>
        <w:jc w:val="left"/>
        <w:rPr>
          <w:rFonts w:hint="eastAsia" w:ascii="宋体" w:hAnsi="宋体" w:eastAsia="宋体" w:cs="宋体"/>
          <w:kern w:val="1"/>
          <w:sz w:val="28"/>
          <w:szCs w:val="28"/>
        </w:rPr>
      </w:pPr>
    </w:p>
    <w:p w14:paraId="0EC7BF33">
      <w:pPr>
        <w:widowControl/>
        <w:shd w:val="clear" w:color="auto" w:fill="FFFFFF"/>
        <w:spacing w:line="360" w:lineRule="auto"/>
        <w:ind w:firstLine="560" w:firstLineChars="200"/>
        <w:jc w:val="left"/>
        <w:rPr>
          <w:rFonts w:hint="eastAsia" w:ascii="宋体" w:hAnsi="宋体" w:eastAsia="宋体" w:cs="宋体"/>
          <w:kern w:val="1"/>
          <w:sz w:val="28"/>
          <w:szCs w:val="28"/>
        </w:rPr>
      </w:pPr>
    </w:p>
    <w:p w14:paraId="134AB361">
      <w:pPr>
        <w:widowControl/>
        <w:shd w:val="clear" w:color="auto" w:fill="FFFFFF"/>
        <w:spacing w:line="360" w:lineRule="auto"/>
        <w:ind w:firstLine="560" w:firstLineChars="200"/>
        <w:jc w:val="left"/>
        <w:rPr>
          <w:rFonts w:hint="eastAsia" w:ascii="宋体" w:hAnsi="宋体" w:eastAsia="宋体" w:cs="宋体"/>
          <w:kern w:val="1"/>
          <w:sz w:val="28"/>
          <w:szCs w:val="28"/>
        </w:rPr>
      </w:pPr>
    </w:p>
    <w:p w14:paraId="074BEDE8">
      <w:pPr>
        <w:widowControl/>
        <w:shd w:val="clear" w:color="auto" w:fill="FFFFFF"/>
        <w:spacing w:line="360" w:lineRule="auto"/>
        <w:ind w:firstLine="560" w:firstLineChars="200"/>
        <w:jc w:val="left"/>
        <w:rPr>
          <w:rFonts w:hint="eastAsia" w:ascii="宋体" w:hAnsi="宋体" w:eastAsia="宋体" w:cs="宋体"/>
          <w:kern w:val="1"/>
          <w:sz w:val="28"/>
          <w:szCs w:val="28"/>
        </w:rPr>
      </w:pPr>
    </w:p>
    <w:p w14:paraId="78FC3708">
      <w:pPr>
        <w:widowControl/>
        <w:shd w:val="clear" w:color="auto" w:fill="FFFFFF"/>
        <w:spacing w:line="360" w:lineRule="auto"/>
        <w:ind w:firstLine="560" w:firstLineChars="200"/>
        <w:jc w:val="left"/>
        <w:rPr>
          <w:rFonts w:hint="eastAsia"/>
          <w:lang w:val="en-US" w:eastAsia="zh-CN"/>
        </w:rPr>
      </w:pPr>
      <w:r>
        <w:rPr>
          <w:rFonts w:hint="eastAsia" w:ascii="宋体" w:hAnsi="宋体" w:eastAsia="宋体" w:cs="宋体"/>
          <w:kern w:val="1"/>
          <w:sz w:val="28"/>
          <w:szCs w:val="28"/>
        </w:rPr>
        <w:t>六、一般公共预算基本支出表</w:t>
      </w:r>
    </w:p>
    <w:p w14:paraId="3B307CFC">
      <w:pPr>
        <w:widowControl/>
        <w:shd w:val="clear" w:color="auto" w:fill="FFFFFF"/>
        <w:spacing w:line="360" w:lineRule="auto"/>
        <w:jc w:val="left"/>
        <w:rPr>
          <w:rFonts w:hint="eastAsia" w:ascii="宋体" w:hAnsi="宋体" w:eastAsia="宋体" w:cs="宋体"/>
          <w:kern w:val="1"/>
          <w:sz w:val="28"/>
          <w:szCs w:val="28"/>
          <w:lang w:eastAsia="zh-CN"/>
        </w:rPr>
      </w:pPr>
      <w:r>
        <w:rPr>
          <w:rFonts w:hint="eastAsia" w:ascii="宋体" w:hAnsi="宋体" w:eastAsia="宋体" w:cs="宋体"/>
          <w:kern w:val="1"/>
          <w:sz w:val="28"/>
          <w:szCs w:val="28"/>
          <w:lang w:eastAsia="zh-CN"/>
        </w:rPr>
        <w:drawing>
          <wp:inline distT="0" distB="0" distL="114300" distR="114300">
            <wp:extent cx="5719445" cy="6885305"/>
            <wp:effectExtent l="0" t="0" r="14605" b="10795"/>
            <wp:docPr id="15" name="图片 15" descr="32`WTWQ5MB86MHU6BSO[C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2`WTWQ5MB86MHU6BSO[C0K"/>
                    <pic:cNvPicPr>
                      <a:picLocks noChangeAspect="1"/>
                    </pic:cNvPicPr>
                  </pic:nvPicPr>
                  <pic:blipFill>
                    <a:blip r:embed="rId10"/>
                    <a:stretch>
                      <a:fillRect/>
                    </a:stretch>
                  </pic:blipFill>
                  <pic:spPr>
                    <a:xfrm>
                      <a:off x="0" y="0"/>
                      <a:ext cx="5719445" cy="6885305"/>
                    </a:xfrm>
                    <a:prstGeom prst="rect">
                      <a:avLst/>
                    </a:prstGeom>
                  </pic:spPr>
                </pic:pic>
              </a:graphicData>
            </a:graphic>
          </wp:inline>
        </w:drawing>
      </w:r>
    </w:p>
    <w:p w14:paraId="10144622">
      <w:pPr>
        <w:widowControl/>
        <w:shd w:val="clear" w:color="auto" w:fill="FFFFFF"/>
        <w:spacing w:line="360" w:lineRule="auto"/>
        <w:ind w:firstLine="560" w:firstLineChars="200"/>
        <w:jc w:val="left"/>
        <w:rPr>
          <w:rFonts w:hint="eastAsia" w:ascii="宋体" w:hAnsi="宋体" w:eastAsia="宋体" w:cs="宋体"/>
          <w:kern w:val="1"/>
          <w:sz w:val="28"/>
          <w:szCs w:val="28"/>
        </w:rPr>
      </w:pPr>
    </w:p>
    <w:p w14:paraId="77BAB84E">
      <w:pPr>
        <w:widowControl/>
        <w:shd w:val="clear" w:color="auto" w:fill="FFFFFF"/>
        <w:spacing w:line="360" w:lineRule="auto"/>
        <w:ind w:firstLine="560" w:firstLineChars="200"/>
        <w:jc w:val="left"/>
        <w:rPr>
          <w:rFonts w:hint="eastAsia" w:ascii="宋体" w:hAnsi="宋体" w:eastAsia="宋体" w:cs="宋体"/>
          <w:kern w:val="1"/>
          <w:sz w:val="28"/>
          <w:szCs w:val="28"/>
        </w:rPr>
      </w:pPr>
    </w:p>
    <w:p w14:paraId="3DDC9B6B">
      <w:pPr>
        <w:widowControl/>
        <w:shd w:val="clear" w:color="auto" w:fill="FFFFFF"/>
        <w:spacing w:line="360" w:lineRule="auto"/>
        <w:ind w:firstLine="560" w:firstLineChars="200"/>
        <w:jc w:val="left"/>
        <w:rPr>
          <w:rFonts w:hint="eastAsia" w:ascii="宋体" w:hAnsi="宋体" w:eastAsia="宋体"/>
          <w:color w:val="333333"/>
          <w:sz w:val="28"/>
          <w:szCs w:val="28"/>
          <w:shd w:val="clear" w:color="auto" w:fill="FFFFFF"/>
          <w:lang w:eastAsia="zh-CN"/>
        </w:rPr>
      </w:pPr>
      <w:r>
        <w:rPr>
          <w:rFonts w:hint="eastAsia" w:ascii="宋体" w:hAnsi="宋体" w:eastAsia="宋体" w:cs="宋体"/>
          <w:kern w:val="1"/>
          <w:sz w:val="28"/>
          <w:szCs w:val="28"/>
        </w:rPr>
        <w:t>七、一般公共预算“三公”经费支出表</w:t>
      </w:r>
    </w:p>
    <w:p w14:paraId="2797B484">
      <w:pPr>
        <w:widowControl/>
        <w:shd w:val="clear" w:color="auto" w:fill="FFFFFF"/>
        <w:spacing w:line="360" w:lineRule="auto"/>
        <w:jc w:val="left"/>
        <w:rPr>
          <w:rFonts w:hint="eastAsia" w:ascii="宋体" w:hAnsi="宋体" w:eastAsia="宋体"/>
          <w:color w:val="333333"/>
          <w:sz w:val="28"/>
          <w:szCs w:val="28"/>
          <w:shd w:val="clear" w:color="auto" w:fill="FFFFFF"/>
          <w:lang w:eastAsia="zh-CN"/>
        </w:rPr>
      </w:pPr>
      <w:r>
        <w:rPr>
          <w:rFonts w:hint="eastAsia" w:ascii="宋体" w:hAnsi="宋体" w:eastAsia="宋体"/>
          <w:color w:val="333333"/>
          <w:sz w:val="28"/>
          <w:szCs w:val="28"/>
          <w:shd w:val="clear" w:color="auto" w:fill="FFFFFF"/>
          <w:lang w:eastAsia="zh-CN"/>
        </w:rPr>
        <w:drawing>
          <wp:inline distT="0" distB="0" distL="114300" distR="114300">
            <wp:extent cx="5612765" cy="1075690"/>
            <wp:effectExtent l="0" t="0" r="6985" b="10160"/>
            <wp:docPr id="4" name="图片 1" descr="173753414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1737534142595"/>
                    <pic:cNvPicPr>
                      <a:picLocks noChangeAspect="1"/>
                    </pic:cNvPicPr>
                  </pic:nvPicPr>
                  <pic:blipFill>
                    <a:blip r:embed="rId11"/>
                    <a:stretch>
                      <a:fillRect/>
                    </a:stretch>
                  </pic:blipFill>
                  <pic:spPr>
                    <a:xfrm>
                      <a:off x="0" y="0"/>
                      <a:ext cx="5612765" cy="1075690"/>
                    </a:xfrm>
                    <a:prstGeom prst="rect">
                      <a:avLst/>
                    </a:prstGeom>
                    <a:noFill/>
                    <a:ln>
                      <a:noFill/>
                    </a:ln>
                  </pic:spPr>
                </pic:pic>
              </a:graphicData>
            </a:graphic>
          </wp:inline>
        </w:drawing>
      </w:r>
    </w:p>
    <w:p w14:paraId="120DAA08">
      <w:pPr>
        <w:keepNext w:val="0"/>
        <w:keepLines w:val="0"/>
        <w:widowControl/>
        <w:suppressLineNumbers w:val="0"/>
        <w:jc w:val="left"/>
        <w:rPr>
          <w:rFonts w:hint="eastAsia" w:ascii="宋体" w:hAnsi="宋体" w:eastAsia="宋体" w:cs="宋体"/>
          <w:kern w:val="1"/>
          <w:sz w:val="28"/>
          <w:szCs w:val="28"/>
        </w:rPr>
      </w:pPr>
    </w:p>
    <w:p w14:paraId="7E36627B">
      <w:pPr>
        <w:keepNext w:val="0"/>
        <w:keepLines w:val="0"/>
        <w:widowControl/>
        <w:suppressLineNumbers w:val="0"/>
        <w:jc w:val="left"/>
        <w:rPr>
          <w:rFonts w:hint="eastAsia" w:ascii="宋体" w:hAnsi="宋体" w:eastAsia="宋体"/>
          <w:color w:val="333333"/>
          <w:sz w:val="28"/>
          <w:szCs w:val="28"/>
          <w:shd w:val="clear" w:color="auto" w:fill="FFFFFF"/>
          <w:lang w:eastAsia="zh-CN"/>
        </w:rPr>
      </w:pPr>
      <w:r>
        <w:rPr>
          <w:rFonts w:hint="eastAsia" w:ascii="宋体" w:hAnsi="宋体" w:eastAsia="宋体" w:cs="宋体"/>
          <w:kern w:val="1"/>
          <w:sz w:val="28"/>
          <w:szCs w:val="28"/>
        </w:rPr>
        <w:t>八、政府性基金预算支出表</w:t>
      </w:r>
    </w:p>
    <w:p w14:paraId="31F2EDC7">
      <w:pPr>
        <w:widowControl/>
        <w:shd w:val="clear" w:color="auto" w:fill="FFFFFF"/>
        <w:spacing w:line="360" w:lineRule="auto"/>
        <w:jc w:val="left"/>
        <w:rPr>
          <w:rFonts w:hint="eastAsia" w:ascii="宋体" w:hAnsi="宋体" w:eastAsia="宋体"/>
          <w:color w:val="333333"/>
          <w:sz w:val="28"/>
          <w:szCs w:val="28"/>
          <w:shd w:val="clear" w:color="auto" w:fill="FFFFFF"/>
          <w:lang w:eastAsia="zh-CN"/>
        </w:rPr>
      </w:pPr>
      <w:r>
        <w:rPr>
          <w:rFonts w:hint="eastAsia" w:ascii="宋体" w:hAnsi="宋体" w:eastAsia="宋体"/>
          <w:color w:val="333333"/>
          <w:sz w:val="28"/>
          <w:szCs w:val="28"/>
          <w:shd w:val="clear" w:color="auto" w:fill="FFFFFF"/>
          <w:lang w:eastAsia="zh-CN"/>
        </w:rPr>
        <w:drawing>
          <wp:inline distT="0" distB="0" distL="114300" distR="114300">
            <wp:extent cx="5588635" cy="872490"/>
            <wp:effectExtent l="0" t="0" r="12065" b="3810"/>
            <wp:docPr id="7" name="图片 2" descr="170668810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1706688102807"/>
                    <pic:cNvPicPr>
                      <a:picLocks noChangeAspect="1"/>
                    </pic:cNvPicPr>
                  </pic:nvPicPr>
                  <pic:blipFill>
                    <a:blip r:embed="rId12"/>
                    <a:stretch>
                      <a:fillRect/>
                    </a:stretch>
                  </pic:blipFill>
                  <pic:spPr>
                    <a:xfrm>
                      <a:off x="0" y="0"/>
                      <a:ext cx="5588635" cy="872490"/>
                    </a:xfrm>
                    <a:prstGeom prst="rect">
                      <a:avLst/>
                    </a:prstGeom>
                    <a:noFill/>
                    <a:ln>
                      <a:noFill/>
                    </a:ln>
                  </pic:spPr>
                </pic:pic>
              </a:graphicData>
            </a:graphic>
          </wp:inline>
        </w:drawing>
      </w:r>
    </w:p>
    <w:p w14:paraId="73A597E6">
      <w:pPr>
        <w:widowControl/>
        <w:shd w:val="clear" w:color="auto" w:fill="FFFFFF"/>
        <w:spacing w:line="360" w:lineRule="auto"/>
        <w:jc w:val="left"/>
        <w:rPr>
          <w:rFonts w:hint="eastAsia" w:ascii="宋体" w:hAnsi="宋体" w:eastAsia="宋体"/>
          <w:color w:val="333333"/>
          <w:sz w:val="28"/>
          <w:szCs w:val="28"/>
          <w:shd w:val="clear" w:color="auto" w:fill="FFFFFF"/>
        </w:rPr>
      </w:pPr>
    </w:p>
    <w:p w14:paraId="7EAC3E7E">
      <w:pPr>
        <w:widowControl/>
        <w:shd w:val="clear" w:color="auto" w:fill="FFFFFF"/>
        <w:spacing w:line="360" w:lineRule="auto"/>
        <w:ind w:firstLine="140" w:firstLineChars="50"/>
        <w:jc w:val="left"/>
        <w:rPr>
          <w:rFonts w:hint="eastAsia" w:ascii="宋体" w:hAnsi="宋体" w:eastAsia="宋体"/>
          <w:color w:val="333333"/>
          <w:sz w:val="28"/>
          <w:szCs w:val="28"/>
          <w:shd w:val="clear" w:color="auto" w:fill="FFFFFF"/>
        </w:rPr>
      </w:pPr>
      <w:r>
        <w:rPr>
          <w:rFonts w:hint="eastAsia" w:ascii="宋体" w:hAnsi="宋体" w:eastAsia="宋体" w:cs="宋体"/>
          <w:kern w:val="1"/>
          <w:sz w:val="28"/>
          <w:szCs w:val="28"/>
          <w:lang w:val="en-US" w:eastAsia="zh-CN"/>
        </w:rPr>
        <w:t>九、项目支出表</w:t>
      </w:r>
      <w:r>
        <w:rPr>
          <w:rFonts w:hint="eastAsia" w:ascii="宋体" w:hAnsi="宋体" w:eastAsia="宋体"/>
          <w:color w:val="333333"/>
          <w:sz w:val="28"/>
          <w:szCs w:val="28"/>
          <w:shd w:val="clear" w:color="auto" w:fill="FFFFFF"/>
        </w:rPr>
        <w:drawing>
          <wp:inline distT="0" distB="0" distL="114300" distR="114300">
            <wp:extent cx="5588000" cy="1125855"/>
            <wp:effectExtent l="0" t="0" r="12700" b="17145"/>
            <wp:docPr id="6" name="图片 3" descr="170668900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1706689003512"/>
                    <pic:cNvPicPr>
                      <a:picLocks noChangeAspect="1"/>
                    </pic:cNvPicPr>
                  </pic:nvPicPr>
                  <pic:blipFill>
                    <a:blip r:embed="rId13"/>
                    <a:stretch>
                      <a:fillRect/>
                    </a:stretch>
                  </pic:blipFill>
                  <pic:spPr>
                    <a:xfrm>
                      <a:off x="0" y="0"/>
                      <a:ext cx="5588000" cy="1125855"/>
                    </a:xfrm>
                    <a:prstGeom prst="rect">
                      <a:avLst/>
                    </a:prstGeom>
                    <a:noFill/>
                    <a:ln>
                      <a:noFill/>
                    </a:ln>
                  </pic:spPr>
                </pic:pic>
              </a:graphicData>
            </a:graphic>
          </wp:inline>
        </w:drawing>
      </w:r>
    </w:p>
    <w:p w14:paraId="1D7EF70E">
      <w:pPr>
        <w:widowControl/>
        <w:shd w:val="clear" w:color="auto" w:fill="FFFFFF"/>
        <w:spacing w:line="360" w:lineRule="auto"/>
        <w:jc w:val="left"/>
        <w:rPr>
          <w:rFonts w:hint="eastAsia" w:ascii="宋体" w:hAnsi="宋体" w:eastAsia="宋体" w:cs="宋体"/>
          <w:kern w:val="1"/>
          <w:sz w:val="28"/>
          <w:szCs w:val="28"/>
          <w:lang w:eastAsia="zh-CN"/>
        </w:rPr>
      </w:pPr>
    </w:p>
    <w:p w14:paraId="02CFEB09">
      <w:pPr>
        <w:widowControl/>
        <w:shd w:val="clear" w:color="auto" w:fill="FFFFFF"/>
        <w:spacing w:line="360" w:lineRule="auto"/>
        <w:jc w:val="left"/>
        <w:rPr>
          <w:rFonts w:hint="eastAsia" w:ascii="宋体" w:hAnsi="宋体" w:eastAsia="宋体"/>
          <w:color w:val="333333"/>
          <w:sz w:val="28"/>
          <w:szCs w:val="28"/>
          <w:shd w:val="clear" w:color="auto" w:fill="FFFFFF"/>
        </w:rPr>
      </w:pPr>
      <w:r>
        <w:rPr>
          <w:rFonts w:hint="eastAsia" w:ascii="宋体" w:hAnsi="宋体" w:eastAsia="宋体" w:cs="宋体"/>
          <w:kern w:val="1"/>
          <w:sz w:val="28"/>
          <w:szCs w:val="28"/>
          <w:lang w:eastAsia="zh-CN"/>
        </w:rPr>
        <w:t>十、国有资本经营支出预算表</w:t>
      </w:r>
    </w:p>
    <w:p w14:paraId="27AEC7A5">
      <w:pPr>
        <w:widowControl/>
        <w:shd w:val="clear" w:color="auto" w:fill="FFFFFF"/>
        <w:spacing w:line="360" w:lineRule="auto"/>
        <w:jc w:val="left"/>
        <w:rPr>
          <w:rFonts w:hint="eastAsia"/>
          <w:lang w:val="en-US" w:eastAsia="zh-CN"/>
        </w:rPr>
      </w:pPr>
      <w:r>
        <w:rPr>
          <w:rFonts w:hint="eastAsia" w:ascii="宋体" w:hAnsi="宋体" w:eastAsia="宋体"/>
          <w:color w:val="333333"/>
          <w:sz w:val="28"/>
          <w:szCs w:val="28"/>
          <w:shd w:val="clear" w:color="auto" w:fill="FFFFFF"/>
          <w:lang w:eastAsia="zh-CN"/>
        </w:rPr>
        <w:drawing>
          <wp:inline distT="0" distB="0" distL="114300" distR="114300">
            <wp:extent cx="5604510" cy="1261745"/>
            <wp:effectExtent l="0" t="0" r="15240" b="14605"/>
            <wp:docPr id="5" name="图片 4" descr="170668821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1706688219865"/>
                    <pic:cNvPicPr>
                      <a:picLocks noChangeAspect="1"/>
                    </pic:cNvPicPr>
                  </pic:nvPicPr>
                  <pic:blipFill>
                    <a:blip r:embed="rId14"/>
                    <a:stretch>
                      <a:fillRect/>
                    </a:stretch>
                  </pic:blipFill>
                  <pic:spPr>
                    <a:xfrm>
                      <a:off x="0" y="0"/>
                      <a:ext cx="5604510" cy="1261745"/>
                    </a:xfrm>
                    <a:prstGeom prst="rect">
                      <a:avLst/>
                    </a:prstGeom>
                    <a:noFill/>
                    <a:ln>
                      <a:noFill/>
                    </a:ln>
                  </pic:spPr>
                </pic:pic>
              </a:graphicData>
            </a:graphic>
          </wp:inline>
        </w:drawing>
      </w:r>
    </w:p>
    <w:p w14:paraId="5F1F066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4D5D88F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kern w:val="1"/>
          <w:sz w:val="28"/>
          <w:szCs w:val="28"/>
          <w:lang w:eastAsia="zh-CN"/>
          <w14:textFill>
            <w14:solidFill>
              <w14:schemeClr w14:val="tx1"/>
            </w14:solidFill>
          </w14:textFill>
        </w:rPr>
      </w:pPr>
    </w:p>
    <w:p w14:paraId="172ABBFA">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第四部分　名词解释</w:t>
      </w:r>
    </w:p>
    <w:p w14:paraId="7B14EDA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一、一般公共预算财政拨款收入：指本级财政一般公共预算当年拨付的资金。</w:t>
      </w:r>
    </w:p>
    <w:p w14:paraId="0671486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二、人员类项目：指部门和单位有关人员的工资福利支出、对个人和家庭的补助支出项目。</w:t>
      </w:r>
    </w:p>
    <w:p w14:paraId="3AB151C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三、运转类项目：指各部门和单位为保障其机构自身正常运转、完成日常工作任务所发生的公用经费项目和专项用于大型公用设施、大型专用设备、专业信息系统运行维护等的其他运转类项目。</w:t>
      </w:r>
    </w:p>
    <w:p w14:paraId="493B4FD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四、特定目标类项目：指部门和单位为完成其特定的工作任务和事业发展目标所发生的支出。</w:t>
      </w:r>
    </w:p>
    <w:p w14:paraId="4E8D278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五、机关运行经费：为保障行政单位(包括参照公务员法管理的事业单位)运行用于购买货物和服务的各项资金，包括办公及印刷</w:t>
      </w:r>
      <w:r>
        <w:rPr>
          <w:rFonts w:hint="eastAsia" w:ascii="宋体" w:hAnsi="宋体" w:eastAsia="宋体"/>
          <w:color w:val="333333"/>
          <w:sz w:val="28"/>
          <w:szCs w:val="28"/>
          <w:shd w:val="clear" w:color="auto" w:fill="FFFFFF"/>
        </w:rPr>
        <w:t>费、邮电费、</w:t>
      </w:r>
      <w:r>
        <w:rPr>
          <w:rFonts w:hint="eastAsia" w:ascii="宋体" w:hAnsi="宋体" w:eastAsia="宋体" w:cs="宋体"/>
          <w:color w:val="000000" w:themeColor="text1"/>
          <w:kern w:val="1"/>
          <w:sz w:val="28"/>
          <w:szCs w:val="28"/>
          <w14:textFill>
            <w14:solidFill>
              <w14:schemeClr w14:val="tx1"/>
            </w14:solidFill>
          </w14:textFill>
        </w:rPr>
        <w:t>差旅费、会议费、福利费、日常维修费、专用材料及一般设备购置费、办公用房水电费、办公用房取暖费、办公用房物业管理费、公务用车运行维护费以及其他费用等。</w:t>
      </w:r>
    </w:p>
    <w:p w14:paraId="1945F50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 xml:space="preserve">六、“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及租用费、燃料费、维修费、过桥过路费、保险费、安全奖励费用等支出；公务接待费反映单位按规定开支的各类公务接待(含外宾接待)费用。 </w:t>
      </w:r>
    </w:p>
    <w:p w14:paraId="3DBF1EC9">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pPr>
      <w:r>
        <w:rPr>
          <w:rFonts w:hint="eastAsia" w:ascii="宋体" w:hAnsi="宋体" w:eastAsia="宋体" w:cs="宋体"/>
          <w:color w:val="000000" w:themeColor="text1"/>
          <w:kern w:val="1"/>
          <w:sz w:val="28"/>
          <w:szCs w:val="28"/>
          <w14:textFill>
            <w14:solidFill>
              <w14:schemeClr w14:val="tx1"/>
            </w14:solidFill>
          </w14:textFill>
        </w:rPr>
        <w:t>七、政府采购：是指各级国家机关、事业单位和团体组织，使用财政性资金采购依法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p>
    <w:sectPr>
      <w:footerReference r:id="rId3" w:type="default"/>
      <w:pgSz w:w="11906" w:h="16838"/>
      <w:pgMar w:top="2098" w:right="1531" w:bottom="1701" w:left="1531" w:header="851" w:footer="1134"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1711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046884">
                          <w:pPr>
                            <w:pStyle w:val="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C046884">
                    <w:pPr>
                      <w:pStyle w:val="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25574"/>
    <w:multiLevelType w:val="singleLevel"/>
    <w:tmpl w:val="AE125574"/>
    <w:lvl w:ilvl="0" w:tentative="0">
      <w:start w:val="1"/>
      <w:numFmt w:val="chineseCounting"/>
      <w:suff w:val="nothing"/>
      <w:lvlText w:val="第%1部分　"/>
      <w:lvlJc w:val="left"/>
      <w:rPr>
        <w:rFonts w:hint="eastAsia"/>
      </w:rPr>
    </w:lvl>
  </w:abstractNum>
  <w:abstractNum w:abstractNumId="1">
    <w:nsid w:val="D1C29F09"/>
    <w:multiLevelType w:val="singleLevel"/>
    <w:tmpl w:val="D1C29F09"/>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7387B"/>
    <w:rsid w:val="10CF50A9"/>
    <w:rsid w:val="16CE357D"/>
    <w:rsid w:val="201C0870"/>
    <w:rsid w:val="32185E5B"/>
    <w:rsid w:val="36313A59"/>
    <w:rsid w:val="3BA62EFF"/>
    <w:rsid w:val="4BD33066"/>
    <w:rsid w:val="51AD2E25"/>
    <w:rsid w:val="5C8719CB"/>
    <w:rsid w:val="5F081D78"/>
    <w:rsid w:val="66881D51"/>
    <w:rsid w:val="6B663334"/>
    <w:rsid w:val="70CA3BF3"/>
    <w:rsid w:val="73D478B5"/>
    <w:rsid w:val="78651DAB"/>
    <w:rsid w:val="7B952C94"/>
    <w:rsid w:val="7EA1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2199</Words>
  <Characters>2365</Characters>
  <Lines>0</Lines>
  <Paragraphs>0</Paragraphs>
  <TotalTime>0</TotalTime>
  <ScaleCrop>false</ScaleCrop>
  <LinksUpToDate>false</LinksUpToDate>
  <CharactersWithSpaces>2376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2026-01-09T06:54:00Z</dcterms:created>
  <dc:creator>Administrator</dc:creator>
  <cp:lastModifiedBy>心语心愿1401376944</cp:lastModifiedBy>
  <dcterms:modified xsi:type="dcterms:W3CDTF">2026-02-07T12:51:00Z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eyJoZGlkIjoiMmE5NjQwNGZlMjk3MjczMTcwZmY1ZDc4ZDJjYzBmNTYiLCJ1c2VySWQiOiIxNjM0MzQ1NSJ9</vt:lpwstr>
  </property>
  <property fmtid="{D5CDD505-2E9C-101B-9397-08002B2CF9AE}" pid="4" name="ICV">
    <vt:lpwstr>0AD4D5E278564AB395D862DA1107AF4D_13</vt:lpwstr>
  </property>
</Properties>
</file>