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3" Type="http://schemas.openxmlformats.org/officeDocument/2006/relationships/custom-properties" Target="docProps/custom.xml" /><Relationship Id="rId1" Type="http://schemas.openxmlformats.org/package/2006/relationships/metadata/core-properties" Target="docProps/core.xml" /><Relationship Id="rId0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w="http://schemas.openxmlformats.org/wordprocessingml/2006/main" xmlns:wpsCustomData="http://www.wps.cn/officeDocument/2013/wpsCustomData" xmlns:m="http://schemas.openxmlformats.org/officeDocument/2006/math" xmlns:wp14="http://schemas.microsoft.com/office/word/2010/wordprocessingDrawing" xmlns:v="urn:schemas-microsoft-com:vml" xmlns:w14="http://schemas.microsoft.com/office/word/2010/wordml" xmlns:wpi="http://schemas.microsoft.com/office/word/2010/wordprocessingInk" xmlns:w10="urn:schemas-microsoft-com:office:word" xmlns:wne="http://schemas.microsoft.com/office/word/2006/wordml" xmlns:w15="http://schemas.microsoft.com/office/word/2012/wordml" xmlns:wp="http://schemas.openxmlformats.org/drawingml/2006/wordprocessingDrawing" xmlns:wpg="http://schemas.microsoft.com/office/word/2010/wordprocessingGroup" xmlns:r="http://schemas.openxmlformats.org/officeDocument/2006/relationships" xmlns:wps="http://schemas.microsoft.com/office/word/2010/wordprocessingShape" mc:Ignorable="w14 w15 wp14">
  <w:body>
    <w:p w14:paraId="05A93C5D">
      <w:pPr>
        <w:jc w:val="center"/>
        <w:rPr>
          <w:sz w:val="32"/>
          <w:lang w:eastAsia="zh-CN"/>
          <w:szCs w:val="32"/>
          <w:rFonts w:ascii="方正小标宋简体" w:hAnsi="方正小标宋简体" w:eastAsia="方正小标宋简体" w:cs="方正小标宋简体" w:hint="eastAsia"/>
        </w:rPr>
      </w:pPr>
      <w:r>
        <w:rPr>
          <w:sz w:val="32"/>
          <w:lang w:eastAsia="zh-CN"/>
          <w:szCs w:val="32"/>
          <w:rFonts w:ascii="方正小标宋简体" w:hAnsi="方正小标宋简体" w:eastAsia="方正小标宋简体" w:cs="方正小标宋简体" w:hint="eastAsia"/>
        </w:rPr>
        <w:t>涉企行政检查公示表</w:t>
      </w:r>
    </w:p>
    <w:tbl>
      <w:tblPr>
        <w:tblStyle w:val="3"/>
        <w:tblW w:w="0" w:type="auto"/>
        <w:tblInd w:type="dxa" w:w="0.000000"/>
        <w:tblLayout w:type="autofi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type="dxa" w:w="0.000000"/>
          <w:bottom w:type="dxa" w:w="0.000000"/>
          <w:left w:type="dxa" w:w="108.000000"/>
          <w:right w:type="dxa" w:w="108.000000"/>
        </w:tblCellMar>
      </w:tblPr>
      <w:tblGrid>
        <w:gridCol w:w="855.000000"/>
        <w:gridCol w:w="1225.000000"/>
        <w:gridCol w:w="1210.000000"/>
        <w:gridCol w:w="6860.000000"/>
        <w:gridCol w:w="1410.000000"/>
        <w:gridCol w:w="2190.000000"/>
      </w:tblGrid>
      <w:tr w14:paraId="40689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616" w:hRule="atLeast"/>
        </w:trPr>
        <w:tc>
          <w:tcPr>
            <w:tcW w:w="855" w:type="dxa"/>
            <w:vAlign w:val="center"/>
          </w:tcPr>
          <w:p w14:paraId="7B3B8450">
            <w:pPr>
              <w:jc w:val="center"/>
              <w:rPr>
                <w:vertAlign w:val="baseline"/>
                <w:sz w:val="24"/>
                <w:lang w:eastAsia="zh-CN"/>
                <w:szCs w:val="24"/>
                <w:rFonts w:ascii="黑体" w:hAnsi="黑体" w:eastAsia="黑体" w:cs="黑体" w:hint="eastAsia"/>
              </w:rPr>
            </w:pPr>
            <w:r>
              <w:rPr>
                <w:vertAlign w:val="baseline"/>
                <w:sz w:val="24"/>
                <w:lang w:eastAsia="zh-CN"/>
                <w:szCs w:val="24"/>
                <w:rFonts w:ascii="黑体" w:hAnsi="黑体" w:eastAsia="黑体" w:cs="黑体" w:hint="eastAsia"/>
              </w:rPr>
              <w:t>序号</w:t>
            </w:r>
          </w:p>
        </w:tc>
        <w:tc>
          <w:tcPr>
            <w:tcW w:w="1225" w:type="dxa"/>
            <w:vAlign w:val="center"/>
          </w:tcPr>
          <w:p w14:paraId="6A52405B">
            <w:pPr>
              <w:jc w:val="center"/>
              <w:rPr>
                <w:vertAlign w:val="baseline"/>
                <w:sz w:val="24"/>
                <w:lang w:eastAsia="zh-CN"/>
                <w:szCs w:val="24"/>
                <w:rFonts w:ascii="黑体" w:hAnsi="黑体" w:eastAsia="黑体" w:cs="黑体" w:hint="eastAsia"/>
              </w:rPr>
            </w:pPr>
            <w:r>
              <w:rPr>
                <w:vertAlign w:val="baseline"/>
                <w:sz w:val="24"/>
                <w:lang w:eastAsia="zh-CN"/>
                <w:szCs w:val="24"/>
                <w:rFonts w:ascii="黑体" w:hAnsi="黑体" w:eastAsia="黑体" w:cs="黑体" w:hint="eastAsia"/>
              </w:rPr>
              <w:t>单位名称</w:t>
            </w:r>
          </w:p>
        </w:tc>
        <w:tc>
          <w:tcPr>
            <w:tcW w:w="1210" w:type="dxa"/>
            <w:vAlign w:val="center"/>
          </w:tcPr>
          <w:p w14:paraId="10E9A609">
            <w:pPr>
              <w:jc w:val="center"/>
              <w:rPr>
                <w:vertAlign w:val="baseline"/>
                <w:sz w:val="24"/>
                <w:lang w:eastAsia="zh-CN"/>
                <w:szCs w:val="24"/>
                <w:rFonts w:ascii="黑体" w:hAnsi="黑体" w:eastAsia="黑体" w:cs="黑体" w:hint="eastAsia"/>
              </w:rPr>
            </w:pPr>
            <w:r>
              <w:rPr>
                <w:vertAlign w:val="baseline"/>
                <w:sz w:val="24"/>
                <w:lang w:eastAsia="zh-CN"/>
                <w:szCs w:val="24"/>
                <w:rFonts w:ascii="黑体" w:hAnsi="黑体" w:eastAsia="黑体" w:cs="黑体" w:hint="eastAsia"/>
              </w:rPr>
              <w:t>行政检</w:t>
            </w:r>
          </w:p>
          <w:p w14:paraId="75078CFE">
            <w:pPr>
              <w:jc w:val="center"/>
              <w:rPr>
                <w:vertAlign w:val="baseline"/>
                <w:sz w:val="24"/>
                <w:lang w:eastAsia="zh-CN"/>
                <w:szCs w:val="24"/>
                <w:rFonts w:ascii="黑体" w:hAnsi="黑体" w:eastAsia="黑体" w:cs="黑体" w:hint="eastAsia"/>
              </w:rPr>
            </w:pPr>
            <w:r>
              <w:rPr>
                <w:vertAlign w:val="baseline"/>
                <w:sz w:val="24"/>
                <w:lang w:eastAsia="zh-CN"/>
                <w:szCs w:val="24"/>
                <w:rFonts w:ascii="黑体" w:hAnsi="黑体" w:eastAsia="黑体" w:cs="黑体" w:hint="eastAsia"/>
              </w:rPr>
              <w:t>查主体</w:t>
            </w:r>
          </w:p>
        </w:tc>
        <w:tc>
          <w:tcPr>
            <w:tcW w:w="6860" w:type="dxa"/>
            <w:vAlign w:val="center"/>
          </w:tcPr>
          <w:p w14:paraId="3D1562D2">
            <w:pPr>
              <w:jc w:val="center"/>
              <w:rPr>
                <w:vertAlign w:val="baseline"/>
                <w:sz w:val="24"/>
                <w:lang w:eastAsia="zh-CN"/>
                <w:szCs w:val="24"/>
                <w:rFonts w:ascii="黑体" w:hAnsi="黑体" w:eastAsia="黑体" w:cs="黑体" w:hint="eastAsia"/>
              </w:rPr>
            </w:pPr>
            <w:r>
              <w:rPr>
                <w:vertAlign w:val="baseline"/>
                <w:sz w:val="24"/>
                <w:lang w:eastAsia="zh-CN"/>
                <w:szCs w:val="24"/>
                <w:rFonts w:ascii="黑体" w:hAnsi="黑体" w:eastAsia="黑体" w:cs="黑体" w:hint="eastAsia"/>
              </w:rPr>
              <w:t>行政检查事项和依据</w:t>
            </w:r>
          </w:p>
        </w:tc>
        <w:tc>
          <w:tcPr>
            <w:tcW w:w="1410" w:type="dxa"/>
            <w:vAlign w:val="center"/>
          </w:tcPr>
          <w:p w14:paraId="1D411546">
            <w:pPr>
              <w:jc w:val="center"/>
              <w:rPr>
                <w:vertAlign w:val="baseline"/>
                <w:sz w:val="24"/>
                <w:lang w:eastAsia="zh-CN"/>
                <w:szCs w:val="24"/>
                <w:rFonts w:ascii="黑体" w:hAnsi="黑体" w:eastAsia="黑体" w:cs="黑体" w:hint="eastAsia"/>
              </w:rPr>
            </w:pPr>
            <w:r>
              <w:rPr>
                <w:vertAlign w:val="baseline"/>
                <w:sz w:val="24"/>
                <w:lang w:eastAsia="zh-CN"/>
                <w:szCs w:val="24"/>
                <w:rFonts w:ascii="黑体" w:hAnsi="黑体" w:eastAsia="黑体" w:cs="黑体" w:hint="eastAsia"/>
              </w:rPr>
              <w:t>行政检查频次上限</w:t>
            </w:r>
          </w:p>
        </w:tc>
        <w:tc>
          <w:tcPr>
            <w:tcW w:w="2190" w:type="dxa"/>
            <w:vAlign w:val="center"/>
          </w:tcPr>
          <w:p w14:paraId="10CEF435">
            <w:pPr>
              <w:jc w:val="center"/>
              <w:rPr>
                <w:vertAlign w:val="baseline"/>
                <w:sz w:val="24"/>
                <w:lang w:eastAsia="zh-CN"/>
                <w:szCs w:val="24"/>
                <w:rFonts w:ascii="黑体" w:hAnsi="黑体" w:eastAsia="黑体" w:cs="黑体" w:hint="eastAsia"/>
              </w:rPr>
            </w:pPr>
            <w:r>
              <w:rPr>
                <w:vertAlign w:val="baseline"/>
                <w:sz w:val="24"/>
                <w:lang w:eastAsia="zh-CN"/>
                <w:szCs w:val="24"/>
                <w:rFonts w:ascii="黑体" w:hAnsi="黑体" w:eastAsia="黑体" w:cs="黑体" w:hint="eastAsia"/>
              </w:rPr>
              <w:t>专项检查计划</w:t>
            </w:r>
          </w:p>
        </w:tc>
      </w:tr>
      <w:tr w14:paraId="53600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c>
          <w:tcPr>
            <w:tcW w:w="855" w:type="dxa"/>
            <w:vAlign w:val="center"/>
          </w:tcPr>
          <w:p w14:paraId="0761F9A6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center"/>
              <w:spacing w:line="280" w:lineRule="exact"/>
              <w:rPr>
                <w:vertAlign w:val="baseline"/>
                <w:color w:val="auto"/>
                <w:sz w:val="20"/>
                <w:lang w:val="en-US" w:eastAsia="zh-CN"/>
                <w:szCs w:val="20"/>
                <w:rFonts w:ascii="仿宋_GB2312" w:hAnsi="仿宋_GB2312" w:eastAsia="仿宋_GB2312" w:cs="仿宋_GB2312" w:hint="eastAsia"/>
              </w:rPr>
            </w:pPr>
            <w:r>
              <w:rPr>
                <w:vertAlign w:val="baseline"/>
                <w:color w:val="auto"/>
                <w:sz w:val="20"/>
                <w:lang w:val="en-US" w:eastAsia="zh-CN"/>
                <w:szCs w:val="20"/>
                <w:rFonts w:ascii="仿宋_GB2312" w:hAnsi="仿宋_GB2312" w:eastAsia="仿宋_GB2312" w:cs="仿宋_GB2312" w:hint="eastAsia"/>
              </w:rPr>
              <w:t>1</w:t>
            </w:r>
          </w:p>
        </w:tc>
        <w:tc>
          <w:tcPr>
            <w:tcW w:w="1225" w:type="dxa"/>
            <w:vAlign w:val="center"/>
          </w:tcPr>
          <w:p w14:paraId="6E0BC9FE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center"/>
              <w:spacing w:line="280" w:lineRule="exact"/>
              <w:rPr>
                <w:vertAlign w:val="baseline"/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</w:pPr>
            <w:r>
              <w:rPr>
                <w:vertAlign w:val="baseline"/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  <w:t>天门市农业农村局</w:t>
            </w:r>
          </w:p>
        </w:tc>
        <w:tc>
          <w:tcPr>
            <w:tcW w:w="1210" w:type="dxa"/>
            <w:vAlign w:val="center"/>
          </w:tcPr>
          <w:p w14:paraId="32F70C85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left"/>
              <w:spacing w:line="240" w:lineRule="exact"/>
              <w:rPr>
                <w:vertAlign w:val="baseline"/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</w:pPr>
            <w:r>
              <w:rPr>
                <w:vertAlign w:val="baseline"/>
                <w:color w:val="auto"/>
                <w:sz w:val="20"/>
                <w:lang w:eastAsia="zh-CN"/>
                <w:rFonts w:ascii="仿宋_GB2312" w:hAnsi="仿宋_GB2312" w:eastAsia="仿宋_GB2312" w:cs="仿宋_GB2312" w:hint="eastAsia"/>
              </w:rPr>
              <w:t>天</w:t>
            </w:r>
            <w:r>
              <w:rPr>
                <w:vertAlign w:val="baseline"/>
                <w:color w:val="auto"/>
                <w:sz w:val="20"/>
                <w:lang w:eastAsia="zh-CN"/>
                <w:rFonts w:ascii="仿宋_GB2312" w:hAnsi="仿宋_GB2312" w:eastAsia="仿宋_GB2312" w:cs="仿宋_GB2312" w:hint="eastAsia"/>
              </w:rPr>
              <w:t>门</w:t>
            </w:r>
            <w:r>
              <w:rPr>
                <w:vertAlign w:val="baseline"/>
                <w:color w:val="auto"/>
                <w:sz w:val="20"/>
                <w:lang w:eastAsia="zh-CN"/>
                <w:rFonts w:ascii="仿宋_GB2312" w:hAnsi="仿宋_GB2312" w:eastAsia="仿宋_GB2312" w:cs="仿宋_GB2312" w:hint="eastAsia"/>
              </w:rPr>
              <w:t>市</w:t>
            </w:r>
            <w:r>
              <w:rPr>
                <w:vertAlign w:val="baseline"/>
                <w:color w:val="auto"/>
                <w:sz w:val="20"/>
                <w:lang w:eastAsia="zh-CN"/>
                <w:rFonts w:ascii="仿宋_GB2312" w:hAnsi="仿宋_GB2312" w:eastAsia="仿宋_GB2312" w:cs="仿宋_GB2312" w:hint="eastAsia"/>
              </w:rPr>
              <w:t>农</w:t>
            </w:r>
            <w:r>
              <w:rPr>
                <w:vertAlign w:val="baseline"/>
                <w:color w:val="auto"/>
                <w:sz w:val="20"/>
                <w:lang w:eastAsia="zh-CN"/>
                <w:rFonts w:ascii="仿宋_GB2312" w:hAnsi="仿宋_GB2312" w:eastAsia="仿宋_GB2312" w:cs="仿宋_GB2312" w:hint="eastAsia"/>
              </w:rPr>
              <w:t>业</w:t>
            </w:r>
            <w:r>
              <w:rPr>
                <w:vertAlign w:val="baseline"/>
                <w:color w:val="auto"/>
                <w:sz w:val="20"/>
                <w:lang w:eastAsia="zh-CN"/>
                <w:rFonts w:ascii="仿宋_GB2312" w:hAnsi="仿宋_GB2312" w:eastAsia="仿宋_GB2312" w:cs="仿宋_GB2312" w:hint="eastAsia"/>
              </w:rPr>
              <w:t>农</w:t>
            </w:r>
            <w:r>
              <w:rPr>
                <w:vertAlign w:val="baseline"/>
                <w:color w:val="auto"/>
                <w:sz w:val="20"/>
                <w:lang w:eastAsia="zh-CN"/>
                <w:rFonts w:ascii="仿宋_GB2312" w:hAnsi="仿宋_GB2312" w:eastAsia="仿宋_GB2312" w:cs="仿宋_GB2312" w:hint="eastAsia"/>
              </w:rPr>
              <w:t>村</w:t>
            </w:r>
            <w:r>
              <w:rPr>
                <w:vertAlign w:val="baseline"/>
                <w:color w:val="auto"/>
                <w:sz w:val="20"/>
                <w:lang w:eastAsia="zh-CN"/>
                <w:rFonts w:ascii="仿宋_GB2312" w:hAnsi="仿宋_GB2312" w:eastAsia="仿宋_GB2312" w:cs="仿宋_GB2312" w:hint="eastAsia"/>
              </w:rPr>
              <w:t>局</w:t>
            </w:r>
          </w:p>
        </w:tc>
        <w:tc>
          <w:tcPr>
            <w:tcW w:w="6860" w:type="dxa"/>
            <w:vAlign w:val="center"/>
          </w:tcPr>
          <w:p w14:paraId="5B9F41D5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both"/>
              <w:spacing w:line="280" w:lineRule="exact"/>
              <w:rPr>
                <w:color w:val="auto"/>
                <w:sz w:val="20"/>
                <w:szCs w:val="20"/>
                <w:rFonts w:ascii="仿宋_GB2312" w:hAnsi="仿宋_GB2312" w:eastAsia="仿宋_GB2312" w:cs="仿宋_GB2312" w:hint="eastAsia"/>
              </w:rPr>
            </w:pPr>
            <w:r>
              <w:rPr>
                <w:color w:val="auto"/>
                <w:sz w:val="20"/>
                <w:lang w:eastAsia="zh-CN"/>
                <w:szCs w:val="20"/>
                <w:rFonts w:ascii="黑体" w:hAnsi="黑体" w:eastAsia="黑体" w:cs="黑体" w:hint="eastAsia"/>
              </w:rPr>
              <w:t>事项：</w:t>
            </w:r>
            <w:r>
              <w:rPr>
                <w:color w:val="auto"/>
                <w:sz w:val="20"/>
                <w:rFonts w:ascii="仿宋_GB2312" w:hAnsi="仿宋_GB2312" w:eastAsia="仿宋_GB2312" w:cs="仿宋_GB2312" w:hint="eastAsia"/>
              </w:rPr>
              <w:t>1.</w:t>
            </w:r>
            <w:r>
              <w:rPr>
                <w:color w:val="auto"/>
                <w:sz w:val="20"/>
                <w:rFonts w:ascii="仿宋_GB2312" w:hAnsi="仿宋_GB2312" w:eastAsia="仿宋_GB2312" w:cs="仿宋_GB2312" w:hint="eastAsia"/>
              </w:rPr>
              <w:t>畜</w:t>
            </w:r>
            <w:r>
              <w:rPr>
                <w:color w:val="auto"/>
                <w:sz w:val="20"/>
                <w:rFonts w:ascii="仿宋_GB2312" w:hAnsi="仿宋_GB2312" w:eastAsia="仿宋_GB2312" w:cs="仿宋_GB2312" w:hint="eastAsia"/>
              </w:rPr>
              <w:t>禽</w:t>
            </w:r>
            <w:r>
              <w:rPr>
                <w:color w:val="auto"/>
                <w:sz w:val="20"/>
                <w:rFonts w:ascii="仿宋_GB2312" w:hAnsi="仿宋_GB2312" w:eastAsia="仿宋_GB2312" w:cs="仿宋_GB2312" w:hint="eastAsia"/>
              </w:rPr>
              <w:t>屠</w:t>
            </w:r>
            <w:r>
              <w:rPr>
                <w:color w:val="auto"/>
                <w:sz w:val="20"/>
                <w:rFonts w:ascii="仿宋_GB2312" w:hAnsi="仿宋_GB2312" w:eastAsia="仿宋_GB2312" w:cs="仿宋_GB2312" w:hint="eastAsia"/>
              </w:rPr>
              <w:t>宰</w:t>
            </w:r>
            <w:r>
              <w:rPr>
                <w:color w:val="auto"/>
                <w:sz w:val="20"/>
                <w:rFonts w:ascii="仿宋_GB2312" w:hAnsi="仿宋_GB2312" w:eastAsia="仿宋_GB2312" w:cs="仿宋_GB2312" w:hint="eastAsia"/>
              </w:rPr>
              <w:t>企</w:t>
            </w:r>
            <w:r>
              <w:rPr>
                <w:color w:val="auto"/>
                <w:sz w:val="20"/>
                <w:rFonts w:ascii="仿宋_GB2312" w:hAnsi="仿宋_GB2312" w:eastAsia="仿宋_GB2312" w:cs="仿宋_GB2312" w:hint="eastAsia"/>
              </w:rPr>
              <w:t>业</w:t>
            </w:r>
            <w:r>
              <w:rPr>
                <w:color w:val="auto"/>
                <w:sz w:val="20"/>
                <w:rFonts w:ascii="仿宋_GB2312" w:hAnsi="仿宋_GB2312" w:eastAsia="仿宋_GB2312" w:cs="仿宋_GB2312" w:hint="eastAsia"/>
              </w:rPr>
              <w:t>的</w:t>
            </w:r>
            <w:r>
              <w:rPr>
                <w:color w:val="auto"/>
                <w:sz w:val="20"/>
                <w:szCs w:val="20"/>
                <w:rFonts w:ascii="仿宋_GB2312" w:hAnsi="仿宋_GB2312" w:eastAsia="仿宋_GB2312" w:cs="仿宋_GB2312" w:hint="eastAsia"/>
              </w:rPr>
              <w:t>工商</w:t>
            </w:r>
            <w:r>
              <w:rPr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  <w:t>营业</w:t>
            </w:r>
            <w:r>
              <w:rPr>
                <w:color w:val="auto"/>
                <w:sz w:val="20"/>
                <w:szCs w:val="20"/>
                <w:rFonts w:ascii="仿宋_GB2312" w:hAnsi="仿宋_GB2312" w:eastAsia="仿宋_GB2312" w:cs="仿宋_GB2312" w:hint="eastAsia"/>
              </w:rPr>
              <w:t>执照、</w:t>
            </w:r>
            <w:r>
              <w:rPr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  <w:t>动物</w:t>
            </w:r>
            <w:r>
              <w:rPr>
                <w:color w:val="auto"/>
                <w:sz w:val="20"/>
                <w:rFonts w:ascii="仿宋_GB2312" w:hAnsi="仿宋_GB2312" w:eastAsia="仿宋_GB2312" w:cs="仿宋_GB2312" w:hint="eastAsia"/>
              </w:rPr>
              <w:t>防疫</w:t>
            </w:r>
            <w:r>
              <w:rPr>
                <w:color w:val="auto"/>
                <w:sz w:val="20"/>
                <w:rFonts w:ascii="仿宋_GB2312" w:hAnsi="仿宋_GB2312" w:eastAsia="仿宋_GB2312" w:cs="仿宋_GB2312" w:hint="eastAsia"/>
              </w:rPr>
              <w:t>条</w:t>
            </w:r>
            <w:r>
              <w:rPr>
                <w:color w:val="auto"/>
                <w:sz w:val="20"/>
                <w:rFonts w:ascii="仿宋_GB2312" w:hAnsi="仿宋_GB2312" w:eastAsia="仿宋_GB2312" w:cs="仿宋_GB2312" w:hint="eastAsia"/>
              </w:rPr>
              <w:t>件</w:t>
            </w:r>
            <w:r>
              <w:rPr>
                <w:color w:val="auto"/>
                <w:sz w:val="20"/>
                <w:szCs w:val="20"/>
                <w:rFonts w:ascii="仿宋_GB2312" w:hAnsi="仿宋_GB2312" w:eastAsia="仿宋_GB2312" w:cs="仿宋_GB2312" w:hint="eastAsia"/>
              </w:rPr>
              <w:t>合格证、畜禽</w:t>
            </w:r>
            <w:r>
              <w:rPr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  <w:t>屠</w:t>
            </w:r>
            <w:r>
              <w:rPr>
                <w:color w:val="auto"/>
                <w:sz w:val="20"/>
                <w:szCs w:val="20"/>
                <w:rFonts w:ascii="仿宋_GB2312" w:hAnsi="仿宋_GB2312" w:eastAsia="仿宋_GB2312" w:cs="仿宋_GB2312" w:hint="eastAsia"/>
              </w:rPr>
              <w:t>宰许可是否在有效期</w:t>
            </w:r>
            <w:r>
              <w:rPr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  <w:t>内</w:t>
            </w:r>
            <w:r>
              <w:rPr>
                <w:color w:val="auto"/>
                <w:sz w:val="20"/>
                <w:szCs w:val="20"/>
                <w:rFonts w:ascii="仿宋_GB2312" w:hAnsi="仿宋_GB2312" w:eastAsia="仿宋_GB2312" w:cs="仿宋_GB2312" w:hint="eastAsia"/>
              </w:rPr>
              <w:t>;2.卫生条件生产布局是否合理;3.屠宰操作规程是否规范;4.消毒及无害化处理是否符合规定;5.生产记录及档案管理是否合格;6.肉品品质检验是否合格。</w:t>
            </w:r>
          </w:p>
          <w:p w14:paraId="5A7D1E54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both"/>
              <w:spacing w:line="280" w:lineRule="exact"/>
              <w:rPr>
                <w:vertAlign w:val="baseline"/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</w:pPr>
            <w:r>
              <w:rPr>
                <w:color w:val="auto"/>
                <w:sz w:val="20"/>
                <w:lang w:eastAsia="zh-CN"/>
                <w:szCs w:val="20"/>
                <w:rFonts w:ascii="黑体" w:hAnsi="黑体" w:eastAsia="黑体" w:cs="黑体" w:hint="eastAsia"/>
              </w:rPr>
              <w:t>依据：</w:t>
            </w:r>
            <w:r>
              <w:rPr>
                <w:color w:val="auto"/>
                <w:sz w:val="20"/>
                <w:szCs w:val="20"/>
                <w:rFonts w:ascii="仿宋_GB2312" w:hAnsi="仿宋_GB2312" w:eastAsia="仿宋_GB2312" w:cs="仿宋_GB2312" w:hint="eastAsia"/>
              </w:rPr>
              <w:t>《</w:t>
            </w:r>
            <w:r>
              <w:rPr>
                <w:color w:val="auto"/>
                <w:sz w:val="20"/>
                <w:lang w:val="en-US" w:eastAsia="zh-CN"/>
                <w:szCs w:val="20"/>
                <w:rFonts w:ascii="仿宋_GB2312" w:hAnsi="仿宋_GB2312" w:eastAsia="仿宋_GB2312" w:cs="仿宋_GB2312" w:hint="eastAsia"/>
              </w:rPr>
              <w:t>中华人民共和国</w:t>
            </w:r>
            <w:r>
              <w:rPr>
                <w:color w:val="auto"/>
                <w:sz w:val="20"/>
                <w:szCs w:val="20"/>
                <w:rFonts w:ascii="仿宋_GB2312" w:hAnsi="仿宋_GB2312" w:eastAsia="仿宋_GB2312" w:cs="仿宋_GB2312" w:hint="eastAsia"/>
              </w:rPr>
              <w:t>动物防疫法》、《生猪屠宰管理条例》</w:t>
            </w:r>
            <w:r>
              <w:rPr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  <w:t>。</w:t>
            </w:r>
          </w:p>
        </w:tc>
        <w:tc>
          <w:tcPr>
            <w:tcW w:w="1410" w:type="dxa"/>
            <w:vAlign w:val="center"/>
          </w:tcPr>
          <w:p w14:paraId="1639063C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center"/>
              <w:spacing w:line="280" w:lineRule="exact"/>
              <w:rPr>
                <w:vertAlign w:val="baseline"/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</w:pPr>
            <w:r>
              <w:rPr>
                <w:vertAlign w:val="baseline"/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  <w:t>待上级部门统一规定</w:t>
            </w:r>
          </w:p>
        </w:tc>
        <w:tc>
          <w:tcPr>
            <w:tcW w:w="2190" w:type="dxa"/>
            <w:vAlign w:val="center"/>
          </w:tcPr>
          <w:p w14:paraId="77522731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both"/>
              <w:spacing w:line="280" w:lineRule="exact"/>
              <w:rPr>
                <w:vertAlign w:val="baseline"/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</w:pPr>
            <w:r>
              <w:rPr>
                <w:vertAlign w:val="baseline"/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  <w:t>每季度例行检查，重大节假日检查</w:t>
            </w:r>
          </w:p>
        </w:tc>
      </w:tr>
      <w:tr w14:paraId="6D2BF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c>
          <w:tcPr>
            <w:tcW w:w="855" w:type="dxa"/>
            <w:vAlign w:val="center"/>
          </w:tcPr>
          <w:p w14:paraId="10566A9D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center"/>
              <w:spacing w:line="280" w:lineRule="exact"/>
              <w:rPr>
                <w:vertAlign w:val="baseline"/>
                <w:color w:val="auto"/>
                <w:sz w:val="20"/>
                <w:lang w:val="en-US" w:eastAsia="zh-CN"/>
                <w:szCs w:val="20"/>
                <w:rFonts w:ascii="仿宋_GB2312" w:hAnsi="仿宋_GB2312" w:eastAsia="仿宋_GB2312" w:cs="仿宋_GB2312" w:hint="eastAsia"/>
              </w:rPr>
            </w:pPr>
            <w:r>
              <w:rPr>
                <w:vertAlign w:val="baseline"/>
                <w:color w:val="auto"/>
                <w:sz w:val="20"/>
                <w:lang w:val="en-US" w:eastAsia="zh-CN"/>
                <w:szCs w:val="20"/>
                <w:rFonts w:ascii="仿宋_GB2312" w:hAnsi="仿宋_GB2312" w:eastAsia="仿宋_GB2312" w:cs="仿宋_GB2312" w:hint="eastAsia"/>
              </w:rPr>
              <w:t>2</w:t>
            </w:r>
          </w:p>
        </w:tc>
        <w:tc>
          <w:tcPr>
            <w:tcW w:w="1225" w:type="dxa"/>
            <w:vAlign w:val="center"/>
          </w:tcPr>
          <w:p w14:paraId="568D8BE8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center"/>
              <w:spacing w:line="280" w:lineRule="exact"/>
              <w:rPr>
                <w:vertAlign w:val="baseline"/>
                <w:color w:val="auto"/>
                <w:sz w:val="20"/>
                <w:szCs w:val="20"/>
                <w:rFonts w:ascii="仿宋_GB2312" w:hAnsi="仿宋_GB2312" w:eastAsia="仿宋_GB2312" w:cs="仿宋_GB2312" w:hint="eastAsia"/>
              </w:rPr>
            </w:pPr>
            <w:r>
              <w:rPr>
                <w:vertAlign w:val="baseline"/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  <w:t>天门市农业农村局</w:t>
            </w:r>
          </w:p>
        </w:tc>
        <w:tc>
          <w:tcPr>
            <w:tcW w:w="1210" w:type="dxa"/>
            <w:vAlign w:val="center"/>
          </w:tcPr>
          <w:p w14:paraId="7B5D2924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left"/>
              <w:spacing w:line="240" w:lineRule="exact"/>
              <w:rPr>
                <w:vertAlign w:val="baseline"/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</w:pPr>
            <w:r>
              <w:rPr>
                <w:vertAlign w:val="baseline"/>
                <w:color w:val="auto"/>
                <w:sz w:val="20"/>
                <w:lang w:eastAsia="zh-CN"/>
                <w:rFonts w:ascii="仿宋_GB2312" w:hAnsi="仿宋_GB2312" w:eastAsia="仿宋_GB2312" w:cs="仿宋_GB2312" w:hint="eastAsia"/>
              </w:rPr>
              <w:t>天门市农业农村局</w:t>
            </w:r>
          </w:p>
        </w:tc>
        <w:tc>
          <w:tcPr>
            <w:tcW w:w="6860" w:type="dxa"/>
            <w:vAlign w:val="center"/>
            <w:shd w:val="clear" w:color="auto" w:fill="auto"/>
          </w:tcPr>
          <w:p w14:paraId="13ED9DB0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both"/>
              <w:spacing w:line="280" w:lineRule="exact"/>
              <w:rPr>
                <w:color w:val="auto"/>
                <w:sz w:val="20"/>
                <w:szCs w:val="20"/>
                <w:rFonts w:ascii="仿宋_GB2312" w:hAnsi="仿宋_GB2312" w:eastAsia="仿宋_GB2312" w:cs="仿宋_GB2312" w:hint="eastAsia"/>
              </w:rPr>
            </w:pPr>
            <w:r>
              <w:rPr>
                <w:color w:val="auto"/>
                <w:sz w:val="20"/>
                <w:lang w:eastAsia="zh-CN"/>
                <w:szCs w:val="20"/>
                <w:rFonts w:ascii="黑体" w:hAnsi="黑体" w:eastAsia="黑体" w:cs="黑体" w:hint="eastAsia"/>
              </w:rPr>
              <w:t>事项：</w:t>
            </w:r>
            <w:r>
              <w:rPr>
                <w:color w:val="auto"/>
                <w:sz w:val="20"/>
                <w:rFonts w:ascii="仿宋_GB2312" w:hAnsi="仿宋_GB2312" w:eastAsia="仿宋_GB2312" w:cs="仿宋_GB2312" w:hint="eastAsia"/>
              </w:rPr>
              <w:t>1.</w:t>
            </w:r>
            <w:r>
              <w:rPr>
                <w:color w:val="auto"/>
                <w:sz w:val="20"/>
                <w:rFonts w:ascii="仿宋_GB2312" w:hAnsi="仿宋_GB2312" w:eastAsia="仿宋_GB2312" w:cs="仿宋_GB2312" w:hint="eastAsia"/>
              </w:rPr>
              <w:t>动</w:t>
            </w:r>
            <w:r>
              <w:rPr>
                <w:color w:val="auto"/>
                <w:sz w:val="20"/>
                <w:rFonts w:ascii="仿宋_GB2312" w:hAnsi="仿宋_GB2312" w:eastAsia="仿宋_GB2312" w:cs="仿宋_GB2312" w:hint="eastAsia"/>
              </w:rPr>
              <w:t>物</w:t>
            </w:r>
            <w:r>
              <w:rPr>
                <w:color w:val="auto"/>
                <w:sz w:val="20"/>
                <w:rFonts w:ascii="仿宋_GB2312" w:hAnsi="仿宋_GB2312" w:eastAsia="仿宋_GB2312" w:cs="仿宋_GB2312" w:hint="eastAsia"/>
              </w:rPr>
              <w:t>诊</w:t>
            </w:r>
            <w:r>
              <w:rPr>
                <w:color w:val="auto"/>
                <w:sz w:val="20"/>
                <w:rFonts w:ascii="仿宋_GB2312" w:hAnsi="仿宋_GB2312" w:eastAsia="仿宋_GB2312" w:cs="仿宋_GB2312" w:hint="eastAsia"/>
              </w:rPr>
              <w:t>疗</w:t>
            </w:r>
            <w:r>
              <w:rPr>
                <w:color w:val="auto"/>
                <w:sz w:val="20"/>
                <w:rFonts w:ascii="仿宋_GB2312" w:hAnsi="仿宋_GB2312" w:eastAsia="仿宋_GB2312" w:cs="仿宋_GB2312" w:hint="eastAsia"/>
              </w:rPr>
              <w:t>机</w:t>
            </w:r>
            <w:r>
              <w:rPr>
                <w:color w:val="auto"/>
                <w:sz w:val="20"/>
                <w:rFonts w:ascii="仿宋_GB2312" w:hAnsi="仿宋_GB2312" w:eastAsia="仿宋_GB2312" w:cs="仿宋_GB2312" w:hint="eastAsia"/>
              </w:rPr>
              <w:t>构</w:t>
            </w:r>
            <w:r>
              <w:rPr>
                <w:color w:val="auto"/>
                <w:sz w:val="20"/>
                <w:rFonts w:ascii="仿宋_GB2312" w:hAnsi="仿宋_GB2312" w:eastAsia="仿宋_GB2312" w:cs="仿宋_GB2312" w:hint="eastAsia"/>
              </w:rPr>
              <w:t>资</w:t>
            </w:r>
            <w:r>
              <w:rPr>
                <w:color w:val="auto"/>
                <w:sz w:val="20"/>
                <w:szCs w:val="20"/>
                <w:rFonts w:ascii="仿宋_GB2312" w:hAnsi="仿宋_GB2312" w:eastAsia="仿宋_GB2312" w:cs="仿宋_GB2312" w:hint="eastAsia"/>
              </w:rPr>
              <w:t>质是否齐全;2.选址、布局情况是否合理;3.设施设备是否齐全;4.无害化处理情况是否符合要求;5.从业人员健康情况是否合格;6.病例、处方是否规范;7.卫生条件是否合格。</w:t>
            </w:r>
          </w:p>
          <w:p w14:paraId="13D31471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both"/>
              <w:spacing w:line="280" w:lineRule="exact"/>
              <w:rPr>
                <w:color w:val="auto"/>
                <w:sz w:val="20"/>
                <w:lang w:val="en-US" w:eastAsia="zh-CN"/>
                <w:szCs w:val="20"/>
                <w:rFonts w:ascii="仿宋_GB2312" w:hAnsi="仿宋_GB2312" w:eastAsia="仿宋_GB2312" w:cs="仿宋_GB2312" w:hint="eastAsia"/>
              </w:rPr>
            </w:pPr>
            <w:r>
              <w:rPr>
                <w:color w:val="auto"/>
                <w:sz w:val="20"/>
                <w:lang w:eastAsia="zh-CN"/>
                <w:szCs w:val="20"/>
                <w:rFonts w:ascii="黑体" w:hAnsi="黑体" w:eastAsia="黑体" w:cs="黑体" w:hint="eastAsia"/>
              </w:rPr>
              <w:t>依据：</w:t>
            </w:r>
            <w:r>
              <w:rPr>
                <w:color w:val="auto"/>
                <w:sz w:val="20"/>
                <w:szCs w:val="20"/>
                <w:rFonts w:ascii="仿宋_GB2312" w:hAnsi="仿宋_GB2312" w:eastAsia="仿宋_GB2312" w:cs="仿宋_GB2312" w:hint="eastAsia"/>
              </w:rPr>
              <w:t>《</w:t>
            </w:r>
            <w:r>
              <w:rPr>
                <w:color w:val="auto"/>
                <w:sz w:val="20"/>
                <w:lang w:val="en-US" w:eastAsia="zh-CN"/>
                <w:szCs w:val="20"/>
                <w:rFonts w:ascii="仿宋_GB2312" w:hAnsi="仿宋_GB2312" w:eastAsia="仿宋_GB2312" w:cs="仿宋_GB2312" w:hint="eastAsia"/>
              </w:rPr>
              <w:t>中华人民共和国</w:t>
            </w:r>
            <w:r>
              <w:rPr>
                <w:color w:val="auto"/>
                <w:sz w:val="20"/>
                <w:szCs w:val="20"/>
                <w:rFonts w:ascii="仿宋_GB2312" w:hAnsi="仿宋_GB2312" w:eastAsia="仿宋_GB2312" w:cs="仿宋_GB2312" w:hint="eastAsia"/>
              </w:rPr>
              <w:t>动物防疫法》、《动物诊疗机构管理办法》</w:t>
            </w:r>
            <w:r>
              <w:rPr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  <w:t>。</w:t>
            </w:r>
          </w:p>
        </w:tc>
        <w:tc>
          <w:tcPr>
            <w:tcW w:w="1410" w:type="dxa"/>
            <w:vAlign w:val="center"/>
          </w:tcPr>
          <w:p w14:paraId="69481D23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center"/>
              <w:spacing w:line="280" w:lineRule="exact"/>
              <w:rPr>
                <w:vertAlign w:val="baseline"/>
                <w:color w:val="auto"/>
                <w:sz w:val="20"/>
                <w:szCs w:val="20"/>
                <w:rFonts w:ascii="仿宋_GB2312" w:hAnsi="仿宋_GB2312" w:eastAsia="仿宋_GB2312" w:cs="仿宋_GB2312" w:hint="eastAsia"/>
              </w:rPr>
            </w:pPr>
            <w:r>
              <w:rPr>
                <w:vertAlign w:val="baseline"/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  <w:t>待上级部门统一规定</w:t>
            </w:r>
          </w:p>
        </w:tc>
        <w:tc>
          <w:tcPr>
            <w:tcW w:w="2190" w:type="dxa"/>
            <w:vAlign w:val="center"/>
          </w:tcPr>
          <w:p w14:paraId="1B40F295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center"/>
              <w:spacing w:line="280" w:lineRule="exact"/>
              <w:rPr>
                <w:vertAlign w:val="baseline"/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</w:pPr>
            <w:r>
              <w:rPr>
                <w:vertAlign w:val="baseline"/>
                <w:color w:val="auto"/>
                <w:sz w:val="20"/>
                <w:lang w:eastAsia="zh-CN"/>
                <w:rFonts w:ascii="仿宋_GB2312" w:hAnsi="仿宋_GB2312" w:eastAsia="仿宋_GB2312" w:cs="仿宋_GB2312" w:hint="eastAsia"/>
              </w:rPr>
              <w:t>一</w:t>
            </w:r>
            <w:r>
              <w:rPr>
                <w:vertAlign w:val="baseline"/>
                <w:color w:val="auto"/>
                <w:sz w:val="20"/>
                <w:lang w:eastAsia="zh-CN"/>
                <w:rFonts w:ascii="仿宋_GB2312" w:hAnsi="仿宋_GB2312" w:eastAsia="仿宋_GB2312" w:cs="仿宋_GB2312" w:hint="eastAsia"/>
              </w:rPr>
              <w:t>年</w:t>
            </w:r>
            <w:r>
              <w:rPr>
                <w:vertAlign w:val="baseline"/>
                <w:color w:val="auto"/>
                <w:sz w:val="20"/>
                <w:lang w:eastAsia="zh-CN"/>
                <w:rFonts w:ascii="仿宋_GB2312" w:hAnsi="仿宋_GB2312" w:eastAsia="仿宋_GB2312" w:cs="仿宋_GB2312" w:hint="eastAsia"/>
              </w:rPr>
              <w:t>两</w:t>
            </w:r>
            <w:r>
              <w:rPr>
                <w:vertAlign w:val="baseline"/>
                <w:color w:val="auto"/>
                <w:sz w:val="20"/>
                <w:lang w:eastAsia="zh-CN"/>
                <w:rFonts w:ascii="仿宋_GB2312" w:hAnsi="仿宋_GB2312" w:eastAsia="仿宋_GB2312" w:cs="仿宋_GB2312" w:hint="eastAsia"/>
              </w:rPr>
              <w:t>次</w:t>
            </w:r>
            <w:r>
              <w:rPr>
                <w:vertAlign w:val="baseline"/>
                <w:color w:val="auto"/>
                <w:sz w:val="20"/>
                <w:lang w:eastAsia="zh-CN"/>
                <w:rFonts w:ascii="仿宋_GB2312" w:hAnsi="仿宋_GB2312" w:eastAsia="仿宋_GB2312" w:cs="仿宋_GB2312" w:hint="eastAsia"/>
              </w:rPr>
              <w:t>例</w:t>
            </w:r>
            <w:r>
              <w:rPr>
                <w:vertAlign w:val="baseline"/>
                <w:color w:val="auto"/>
                <w:sz w:val="20"/>
                <w:lang w:eastAsia="zh-CN"/>
                <w:rFonts w:ascii="仿宋_GB2312" w:hAnsi="仿宋_GB2312" w:eastAsia="仿宋_GB2312" w:cs="仿宋_GB2312" w:hint="eastAsia"/>
              </w:rPr>
              <w:t>行</w:t>
            </w:r>
            <w:r>
              <w:rPr>
                <w:vertAlign w:val="baseline"/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  <w:t>检查</w:t>
            </w:r>
          </w:p>
        </w:tc>
      </w:tr>
      <w:tr w14:paraId="0A783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c>
          <w:tcPr>
            <w:tcW w:w="855" w:type="dxa"/>
            <w:vAlign w:val="center"/>
          </w:tcPr>
          <w:p w14:paraId="13B9585E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center"/>
              <w:spacing w:line="280" w:lineRule="exact"/>
              <w:rPr>
                <w:vertAlign w:val="baseline"/>
                <w:color w:val="auto"/>
                <w:sz w:val="20"/>
                <w:lang w:val="en-US" w:eastAsia="zh-CN"/>
                <w:szCs w:val="20"/>
                <w:rFonts w:ascii="仿宋_GB2312" w:hAnsi="仿宋_GB2312" w:eastAsia="仿宋_GB2312" w:cs="仿宋_GB2312" w:hint="eastAsia"/>
              </w:rPr>
            </w:pPr>
            <w:r>
              <w:rPr>
                <w:vertAlign w:val="baseline"/>
                <w:color w:val="auto"/>
                <w:sz w:val="20"/>
                <w:lang w:val="en-US" w:eastAsia="zh-CN"/>
                <w:szCs w:val="20"/>
                <w:rFonts w:ascii="仿宋_GB2312" w:hAnsi="仿宋_GB2312" w:eastAsia="仿宋_GB2312" w:cs="仿宋_GB2312" w:hint="eastAsia"/>
              </w:rPr>
              <w:t>3</w:t>
            </w:r>
          </w:p>
        </w:tc>
        <w:tc>
          <w:tcPr>
            <w:tcW w:w="1225" w:type="dxa"/>
            <w:vAlign w:val="center"/>
          </w:tcPr>
          <w:p w14:paraId="6D8D360F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center"/>
              <w:spacing w:line="280" w:lineRule="exact"/>
              <w:rPr>
                <w:vertAlign w:val="baseline"/>
                <w:color w:val="auto"/>
                <w:sz w:val="20"/>
                <w:szCs w:val="20"/>
                <w:rFonts w:ascii="仿宋_GB2312" w:hAnsi="仿宋_GB2312" w:eastAsia="仿宋_GB2312" w:cs="仿宋_GB2312" w:hint="eastAsia"/>
              </w:rPr>
            </w:pPr>
            <w:r>
              <w:rPr>
                <w:vertAlign w:val="baseline"/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  <w:t>天门市农业农村局</w:t>
            </w:r>
          </w:p>
        </w:tc>
        <w:tc>
          <w:tcPr>
            <w:tcW w:w="1210" w:type="dxa"/>
            <w:vAlign w:val="center"/>
          </w:tcPr>
          <w:p w14:paraId="048B68C7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left"/>
              <w:spacing w:line="240" w:lineRule="exact"/>
              <w:rPr>
                <w:vertAlign w:val="baseline"/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</w:pPr>
            <w:r>
              <w:rPr>
                <w:vertAlign w:val="baseline"/>
                <w:color w:val="auto"/>
                <w:sz w:val="20"/>
                <w:lang w:eastAsia="zh-CN"/>
                <w:rFonts w:ascii="仿宋_GB2312" w:hAnsi="仿宋_GB2312" w:eastAsia="仿宋_GB2312" w:cs="仿宋_GB2312" w:hint="eastAsia"/>
              </w:rPr>
              <w:t>天门市农业农村局</w:t>
            </w:r>
          </w:p>
        </w:tc>
        <w:tc>
          <w:tcPr>
            <w:tcW w:w="6860" w:type="dxa"/>
            <w:vAlign w:val="center"/>
            <w:shd w:val="clear" w:color="auto" w:fill="auto"/>
          </w:tcPr>
          <w:p w14:paraId="56E618C8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both"/>
              <w:spacing w:line="280" w:lineRule="exact"/>
              <w:rPr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</w:pPr>
            <w:r>
              <w:rPr>
                <w:color w:val="auto"/>
                <w:sz w:val="20"/>
                <w:lang w:eastAsia="zh-CN"/>
                <w:szCs w:val="20"/>
                <w:rFonts w:ascii="黑体" w:hAnsi="黑体" w:eastAsia="黑体" w:cs="黑体" w:hint="eastAsia"/>
              </w:rPr>
              <w:t>事项：</w:t>
            </w:r>
            <w:r>
              <w:rPr>
                <w:color w:val="auto"/>
                <w:sz w:val="20"/>
                <w:rFonts w:ascii="仿宋_GB2312" w:hAnsi="仿宋_GB2312" w:eastAsia="仿宋_GB2312" w:cs="仿宋_GB2312" w:hint="eastAsia"/>
              </w:rPr>
              <w:t>1.</w:t>
            </w:r>
            <w:r>
              <w:rPr>
                <w:color w:val="auto"/>
                <w:sz w:val="20"/>
                <w:rFonts w:ascii="仿宋_GB2312" w:hAnsi="仿宋_GB2312" w:eastAsia="仿宋_GB2312" w:cs="仿宋_GB2312" w:hint="eastAsia"/>
              </w:rPr>
              <w:t>无</w:t>
            </w:r>
            <w:r>
              <w:rPr>
                <w:color w:val="auto"/>
                <w:sz w:val="20"/>
                <w:rFonts w:ascii="仿宋_GB2312" w:hAnsi="仿宋_GB2312" w:eastAsia="仿宋_GB2312" w:cs="仿宋_GB2312" w:hint="eastAsia"/>
              </w:rPr>
              <w:t>害</w:t>
            </w:r>
            <w:r>
              <w:rPr>
                <w:color w:val="auto"/>
                <w:sz w:val="20"/>
                <w:rFonts w:ascii="仿宋_GB2312" w:hAnsi="仿宋_GB2312" w:eastAsia="仿宋_GB2312" w:cs="仿宋_GB2312" w:hint="eastAsia"/>
              </w:rPr>
              <w:t>化</w:t>
            </w:r>
            <w:r>
              <w:rPr>
                <w:color w:val="auto"/>
                <w:sz w:val="20"/>
                <w:rFonts w:ascii="仿宋_GB2312" w:hAnsi="仿宋_GB2312" w:eastAsia="仿宋_GB2312" w:cs="仿宋_GB2312" w:hint="eastAsia"/>
              </w:rPr>
              <w:t>处</w:t>
            </w:r>
            <w:r>
              <w:rPr>
                <w:color w:val="auto"/>
                <w:sz w:val="20"/>
                <w:rFonts w:ascii="仿宋_GB2312" w:hAnsi="仿宋_GB2312" w:eastAsia="仿宋_GB2312" w:cs="仿宋_GB2312" w:hint="eastAsia"/>
              </w:rPr>
              <w:t>理</w:t>
            </w:r>
            <w:r>
              <w:rPr>
                <w:color w:val="auto"/>
                <w:sz w:val="20"/>
                <w:rFonts w:ascii="仿宋_GB2312" w:hAnsi="仿宋_GB2312" w:eastAsia="仿宋_GB2312" w:cs="仿宋_GB2312" w:hint="eastAsia"/>
              </w:rPr>
              <w:t>场</w:t>
            </w:r>
            <w:r>
              <w:rPr>
                <w:color w:val="auto"/>
                <w:sz w:val="20"/>
                <w:rFonts w:ascii="仿宋_GB2312" w:hAnsi="仿宋_GB2312" w:eastAsia="仿宋_GB2312" w:cs="仿宋_GB2312" w:hint="eastAsia"/>
              </w:rPr>
              <w:t>生</w:t>
            </w:r>
            <w:r>
              <w:rPr>
                <w:color w:val="auto"/>
                <w:sz w:val="20"/>
                <w:rFonts w:ascii="仿宋_GB2312" w:hAnsi="仿宋_GB2312" w:eastAsia="仿宋_GB2312" w:cs="仿宋_GB2312" w:hint="eastAsia"/>
              </w:rPr>
              <w:t>产经营资质是否合格;2.卫生条件是否合格、生产布局是否合理;3.操作规程是否规范;4.消毒情况是否合理;5.</w:t>
            </w:r>
            <w:r>
              <w:rPr>
                <w:color w:val="auto"/>
                <w:sz w:val="20"/>
                <w:rFonts w:ascii="仿宋_GB2312" w:hAnsi="仿宋_GB2312" w:eastAsia="仿宋_GB2312" w:cs="仿宋_GB2312" w:hint="eastAsia"/>
              </w:rPr>
              <w:t>处理</w:t>
            </w:r>
            <w:r>
              <w:rPr>
                <w:color w:val="auto"/>
                <w:sz w:val="20"/>
                <w:rFonts w:ascii="仿宋_GB2312" w:hAnsi="仿宋_GB2312" w:eastAsia="仿宋_GB2312" w:cs="仿宋_GB2312" w:hint="eastAsia"/>
              </w:rPr>
              <w:t>记</w:t>
            </w:r>
            <w:r>
              <w:rPr>
                <w:color w:val="auto"/>
                <w:sz w:val="20"/>
                <w:rFonts w:ascii="仿宋_GB2312" w:hAnsi="仿宋_GB2312" w:eastAsia="仿宋_GB2312" w:cs="仿宋_GB2312" w:hint="eastAsia"/>
              </w:rPr>
              <w:t>录</w:t>
            </w:r>
            <w:r>
              <w:rPr>
                <w:color w:val="auto"/>
                <w:sz w:val="20"/>
                <w:rFonts w:ascii="仿宋_GB2312" w:hAnsi="仿宋_GB2312" w:eastAsia="仿宋_GB2312" w:cs="仿宋_GB2312" w:hint="eastAsia"/>
              </w:rPr>
              <w:t>等</w:t>
            </w:r>
            <w:r>
              <w:rPr>
                <w:color w:val="auto"/>
                <w:sz w:val="20"/>
                <w:rFonts w:ascii="仿宋_GB2312" w:hAnsi="仿宋_GB2312" w:eastAsia="仿宋_GB2312" w:cs="仿宋_GB2312" w:hint="eastAsia"/>
              </w:rPr>
              <w:t>是</w:t>
            </w:r>
            <w:r>
              <w:rPr>
                <w:color w:val="auto"/>
                <w:sz w:val="20"/>
                <w:rFonts w:ascii="仿宋_GB2312" w:hAnsi="仿宋_GB2312" w:eastAsia="仿宋_GB2312" w:cs="仿宋_GB2312" w:hint="eastAsia"/>
              </w:rPr>
              <w:t>否</w:t>
            </w:r>
            <w:r>
              <w:rPr>
                <w:color w:val="auto"/>
                <w:sz w:val="20"/>
                <w:rFonts w:ascii="仿宋_GB2312" w:hAnsi="仿宋_GB2312" w:eastAsia="仿宋_GB2312" w:cs="仿宋_GB2312" w:hint="eastAsia"/>
              </w:rPr>
              <w:t>完</w:t>
            </w:r>
            <w:r>
              <w:rPr>
                <w:color w:val="auto"/>
                <w:sz w:val="20"/>
                <w:rFonts w:ascii="仿宋_GB2312" w:hAnsi="仿宋_GB2312" w:eastAsia="仿宋_GB2312" w:cs="仿宋_GB2312" w:hint="eastAsia"/>
              </w:rPr>
              <w:t>善</w:t>
            </w:r>
            <w:r>
              <w:rPr>
                <w:color w:val="auto"/>
                <w:sz w:val="20"/>
                <w:szCs w:val="20"/>
                <w:rFonts w:ascii="仿宋_GB2312" w:hAnsi="仿宋_GB2312" w:eastAsia="仿宋_GB2312" w:cs="仿宋_GB2312" w:hint="eastAsia"/>
              </w:rPr>
              <w:t>;6.管理制度是否规范</w:t>
            </w:r>
            <w:r>
              <w:rPr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  <w:t>。</w:t>
            </w:r>
          </w:p>
          <w:p w14:paraId="33BBFEA8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both"/>
              <w:spacing w:line="280" w:lineRule="exact"/>
              <w:rPr>
                <w:color w:val="auto"/>
                <w:sz w:val="20"/>
                <w:lang w:val="en-US" w:eastAsia="zh-CN"/>
                <w:szCs w:val="20"/>
                <w:rFonts w:ascii="仿宋_GB2312" w:hAnsi="仿宋_GB2312" w:eastAsia="仿宋_GB2312" w:cs="仿宋_GB2312" w:hint="eastAsia"/>
              </w:rPr>
            </w:pPr>
            <w:r>
              <w:rPr>
                <w:color w:val="auto"/>
                <w:sz w:val="20"/>
                <w:lang w:eastAsia="zh-CN"/>
                <w:szCs w:val="20"/>
                <w:rFonts w:ascii="黑体" w:hAnsi="黑体" w:eastAsia="黑体" w:cs="黑体" w:hint="eastAsia"/>
              </w:rPr>
              <w:t>依据：</w:t>
            </w:r>
            <w:r>
              <w:rPr>
                <w:color w:val="auto"/>
                <w:sz w:val="20"/>
                <w:szCs w:val="20"/>
                <w:rFonts w:ascii="仿宋_GB2312" w:hAnsi="仿宋_GB2312" w:eastAsia="仿宋_GB2312" w:cs="仿宋_GB2312" w:hint="eastAsia"/>
              </w:rPr>
              <w:t>《</w:t>
            </w:r>
            <w:r>
              <w:rPr>
                <w:color w:val="auto"/>
                <w:sz w:val="20"/>
                <w:lang w:val="en-US" w:eastAsia="zh-CN"/>
                <w:szCs w:val="20"/>
                <w:rFonts w:ascii="仿宋_GB2312" w:hAnsi="仿宋_GB2312" w:eastAsia="仿宋_GB2312" w:cs="仿宋_GB2312" w:hint="eastAsia"/>
              </w:rPr>
              <w:t>中华人民共和国</w:t>
            </w:r>
            <w:r>
              <w:rPr>
                <w:color w:val="auto"/>
                <w:sz w:val="20"/>
                <w:szCs w:val="20"/>
                <w:rFonts w:ascii="仿宋_GB2312" w:hAnsi="仿宋_GB2312" w:eastAsia="仿宋_GB2312" w:cs="仿宋_GB2312" w:hint="eastAsia"/>
              </w:rPr>
              <w:t>动物防疫法》</w:t>
            </w:r>
            <w:r>
              <w:rPr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  <w:t>。</w:t>
            </w:r>
          </w:p>
        </w:tc>
        <w:tc>
          <w:tcPr>
            <w:tcW w:w="1410" w:type="dxa"/>
            <w:vAlign w:val="center"/>
          </w:tcPr>
          <w:p w14:paraId="75C86604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center"/>
              <w:spacing w:line="280" w:lineRule="exact"/>
              <w:rPr>
                <w:vertAlign w:val="baseline"/>
                <w:color w:val="auto"/>
                <w:sz w:val="20"/>
                <w:szCs w:val="20"/>
                <w:rFonts w:ascii="仿宋_GB2312" w:hAnsi="仿宋_GB2312" w:eastAsia="仿宋_GB2312" w:cs="仿宋_GB2312" w:hint="eastAsia"/>
              </w:rPr>
            </w:pPr>
            <w:r>
              <w:rPr>
                <w:vertAlign w:val="baseline"/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  <w:t>待上级部门统一规定</w:t>
            </w:r>
          </w:p>
        </w:tc>
        <w:tc>
          <w:tcPr>
            <w:tcW w:w="2190" w:type="dxa"/>
            <w:vAlign w:val="center"/>
          </w:tcPr>
          <w:p w14:paraId="15FF4316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center"/>
              <w:spacing w:line="280" w:lineRule="exact"/>
              <w:rPr>
                <w:vertAlign w:val="baseline"/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</w:pPr>
            <w:r>
              <w:rPr>
                <w:vertAlign w:val="baseline"/>
                <w:color w:val="auto"/>
                <w:sz w:val="20"/>
                <w:lang w:eastAsia="zh-CN"/>
                <w:rFonts w:ascii="仿宋_GB2312" w:hAnsi="仿宋_GB2312" w:eastAsia="仿宋_GB2312" w:cs="仿宋_GB2312" w:hint="eastAsia"/>
              </w:rPr>
              <w:t>一</w:t>
            </w:r>
            <w:r>
              <w:rPr>
                <w:vertAlign w:val="baseline"/>
                <w:color w:val="auto"/>
                <w:sz w:val="20"/>
                <w:lang w:eastAsia="zh-CN"/>
                <w:rFonts w:ascii="仿宋_GB2312" w:hAnsi="仿宋_GB2312" w:eastAsia="仿宋_GB2312" w:cs="仿宋_GB2312" w:hint="eastAsia"/>
              </w:rPr>
              <w:t>年</w:t>
            </w:r>
            <w:r>
              <w:rPr>
                <w:vertAlign w:val="baseline"/>
                <w:color w:val="auto"/>
                <w:sz w:val="20"/>
                <w:lang w:eastAsia="zh-CN"/>
                <w:rFonts w:ascii="仿宋_GB2312" w:hAnsi="仿宋_GB2312" w:eastAsia="仿宋_GB2312" w:cs="仿宋_GB2312" w:hint="eastAsia"/>
              </w:rPr>
              <w:t>两</w:t>
            </w:r>
            <w:r>
              <w:rPr>
                <w:vertAlign w:val="baseline"/>
                <w:color w:val="auto"/>
                <w:sz w:val="20"/>
                <w:lang w:eastAsia="zh-CN"/>
                <w:rFonts w:ascii="仿宋_GB2312" w:hAnsi="仿宋_GB2312" w:eastAsia="仿宋_GB2312" w:cs="仿宋_GB2312" w:hint="eastAsia"/>
              </w:rPr>
              <w:t>次</w:t>
            </w:r>
            <w:r>
              <w:rPr>
                <w:vertAlign w:val="baseline"/>
                <w:color w:val="auto"/>
                <w:sz w:val="20"/>
                <w:lang w:eastAsia="zh-CN"/>
                <w:rFonts w:ascii="仿宋_GB2312" w:hAnsi="仿宋_GB2312" w:eastAsia="仿宋_GB2312" w:cs="仿宋_GB2312" w:hint="eastAsia"/>
              </w:rPr>
              <w:t>例</w:t>
            </w:r>
            <w:r>
              <w:rPr>
                <w:vertAlign w:val="baseline"/>
                <w:color w:val="auto"/>
                <w:sz w:val="20"/>
                <w:lang w:eastAsia="zh-CN"/>
                <w:rFonts w:ascii="仿宋_GB2312" w:hAnsi="仿宋_GB2312" w:eastAsia="仿宋_GB2312" w:cs="仿宋_GB2312" w:hint="eastAsia"/>
              </w:rPr>
              <w:t>行</w:t>
            </w:r>
            <w:r>
              <w:rPr>
                <w:vertAlign w:val="baseline"/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  <w:t>检查</w:t>
            </w:r>
          </w:p>
        </w:tc>
      </w:tr>
      <w:tr w14:paraId="0BC708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c>
          <w:tcPr>
            <w:tcW w:w="855" w:type="dxa"/>
            <w:vAlign w:val="center"/>
          </w:tcPr>
          <w:p w14:paraId="5DB9C136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center"/>
              <w:spacing w:line="280" w:lineRule="exact"/>
              <w:rPr>
                <w:vertAlign w:val="baseline"/>
                <w:color w:val="auto"/>
                <w:sz w:val="20"/>
                <w:lang w:val="en-US" w:eastAsia="zh-CN"/>
                <w:szCs w:val="20"/>
                <w:rFonts w:ascii="仿宋_GB2312" w:hAnsi="仿宋_GB2312" w:eastAsia="仿宋_GB2312" w:cs="仿宋_GB2312" w:hint="eastAsia"/>
              </w:rPr>
            </w:pPr>
            <w:r>
              <w:rPr>
                <w:vertAlign w:val="baseline"/>
                <w:color w:val="auto"/>
                <w:sz w:val="20"/>
                <w:lang w:val="en-US" w:eastAsia="zh-CN"/>
                <w:szCs w:val="20"/>
                <w:rFonts w:ascii="仿宋_GB2312" w:hAnsi="仿宋_GB2312" w:eastAsia="仿宋_GB2312" w:cs="仿宋_GB2312" w:hint="eastAsia"/>
              </w:rPr>
              <w:t>4</w:t>
            </w:r>
          </w:p>
        </w:tc>
        <w:tc>
          <w:tcPr>
            <w:tcW w:w="1225" w:type="dxa"/>
            <w:vAlign w:val="center"/>
          </w:tcPr>
          <w:p w14:paraId="17165ECF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center"/>
              <w:spacing w:line="280" w:lineRule="exact"/>
              <w:rPr>
                <w:vertAlign w:val="baseline"/>
                <w:color w:val="auto"/>
                <w:sz w:val="20"/>
                <w:szCs w:val="20"/>
                <w:rFonts w:ascii="仿宋_GB2312" w:hAnsi="仿宋_GB2312" w:eastAsia="仿宋_GB2312" w:cs="仿宋_GB2312" w:hint="eastAsia"/>
              </w:rPr>
            </w:pPr>
            <w:r>
              <w:rPr>
                <w:vertAlign w:val="baseline"/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  <w:t>天门市农业农村局</w:t>
            </w:r>
          </w:p>
        </w:tc>
        <w:tc>
          <w:tcPr>
            <w:tcW w:w="1210" w:type="dxa"/>
            <w:vAlign w:val="center"/>
          </w:tcPr>
          <w:p w14:paraId="4B41AF1E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center"/>
              <w:spacing w:line="240" w:lineRule="exact"/>
              <w:rPr>
                <w:vertAlign w:val="baseline"/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</w:pPr>
            <w:r>
              <w:rPr>
                <w:vertAlign w:val="baseline"/>
                <w:color w:val="auto"/>
                <w:sz w:val="20"/>
                <w:lang w:eastAsia="zh-CN"/>
                <w:rFonts w:ascii="仿宋_GB2312" w:hAnsi="仿宋_GB2312" w:eastAsia="仿宋_GB2312" w:cs="仿宋_GB2312" w:hint="eastAsia"/>
              </w:rPr>
              <w:t>天门市农业农村局</w:t>
            </w:r>
          </w:p>
        </w:tc>
        <w:tc>
          <w:tcPr>
            <w:tcW w:w="6860" w:type="dxa"/>
            <w:vAlign w:val="center"/>
            <w:shd w:val="clear" w:color="auto" w:fill="auto"/>
          </w:tcPr>
          <w:p w14:paraId="46C9004C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both"/>
              <w:spacing w:line="280" w:lineRule="exact"/>
              <w:rPr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</w:pPr>
            <w:r>
              <w:rPr>
                <w:color w:val="auto"/>
                <w:sz w:val="20"/>
                <w:lang w:eastAsia="zh-CN"/>
                <w:szCs w:val="20"/>
                <w:rFonts w:ascii="黑体" w:hAnsi="黑体" w:eastAsia="黑体" w:cs="黑体" w:hint="eastAsia"/>
              </w:rPr>
              <w:t>事项：</w:t>
            </w:r>
            <w:r>
              <w:rPr>
                <w:color w:val="auto"/>
                <w:sz w:val="20"/>
                <w:rFonts w:ascii="仿宋_GB2312" w:hAnsi="仿宋_GB2312" w:eastAsia="仿宋_GB2312" w:cs="仿宋_GB2312" w:hint="eastAsia"/>
              </w:rPr>
              <w:t>饲料生产经营</w:t>
            </w:r>
            <w:r>
              <w:rPr>
                <w:color w:val="auto"/>
                <w:sz w:val="20"/>
                <w:rFonts w:ascii="仿宋_GB2312" w:hAnsi="仿宋_GB2312" w:eastAsia="仿宋_GB2312" w:cs="仿宋_GB2312" w:hint="eastAsia"/>
              </w:rPr>
              <w:t>企</w:t>
            </w:r>
            <w:r>
              <w:rPr>
                <w:color w:val="auto"/>
                <w:sz w:val="20"/>
                <w:rFonts w:ascii="仿宋_GB2312" w:hAnsi="仿宋_GB2312" w:eastAsia="仿宋_GB2312" w:cs="仿宋_GB2312" w:hint="eastAsia"/>
              </w:rPr>
              <w:t>业</w:t>
            </w:r>
            <w:r>
              <w:rPr>
                <w:color w:val="auto"/>
                <w:sz w:val="20"/>
                <w:rFonts w:ascii="仿宋_GB2312" w:hAnsi="仿宋_GB2312" w:eastAsia="仿宋_GB2312" w:cs="仿宋_GB2312" w:hint="eastAsia"/>
              </w:rPr>
              <w:t>质</w:t>
            </w:r>
            <w:r>
              <w:rPr>
                <w:color w:val="auto"/>
                <w:sz w:val="20"/>
                <w:rFonts w:ascii="仿宋_GB2312" w:hAnsi="仿宋_GB2312" w:eastAsia="仿宋_GB2312" w:cs="仿宋_GB2312" w:hint="eastAsia"/>
              </w:rPr>
              <w:t>量</w:t>
            </w:r>
            <w:r>
              <w:rPr>
                <w:color w:val="auto"/>
                <w:sz w:val="20"/>
                <w:rFonts w:ascii="仿宋_GB2312" w:hAnsi="仿宋_GB2312" w:eastAsia="仿宋_GB2312" w:cs="仿宋_GB2312" w:hint="eastAsia"/>
              </w:rPr>
              <w:t>管</w:t>
            </w:r>
            <w:r>
              <w:rPr>
                <w:color w:val="auto"/>
                <w:sz w:val="20"/>
                <w:rFonts w:ascii="仿宋_GB2312" w:hAnsi="仿宋_GB2312" w:eastAsia="仿宋_GB2312" w:cs="仿宋_GB2312" w:hint="eastAsia"/>
              </w:rPr>
              <w:t>理</w:t>
            </w:r>
            <w:r>
              <w:rPr>
                <w:color w:val="auto"/>
                <w:sz w:val="20"/>
                <w:rFonts w:ascii="仿宋_GB2312" w:hAnsi="仿宋_GB2312" w:eastAsia="仿宋_GB2312" w:cs="仿宋_GB2312" w:hint="eastAsia"/>
              </w:rPr>
              <w:t>规</w:t>
            </w:r>
            <w:r>
              <w:rPr>
                <w:color w:val="auto"/>
                <w:sz w:val="20"/>
                <w:rFonts w:ascii="仿宋_GB2312" w:hAnsi="仿宋_GB2312" w:eastAsia="仿宋_GB2312" w:cs="仿宋_GB2312" w:hint="eastAsia"/>
              </w:rPr>
              <w:t>范</w:t>
            </w:r>
            <w:r>
              <w:rPr>
                <w:color w:val="auto"/>
                <w:sz w:val="20"/>
                <w:szCs w:val="20"/>
                <w:rFonts w:ascii="仿宋_GB2312" w:hAnsi="仿宋_GB2312" w:eastAsia="仿宋_GB2312" w:cs="仿宋_GB2312" w:hint="eastAsia"/>
              </w:rPr>
              <w:t>执行情况</w:t>
            </w:r>
            <w:r>
              <w:rPr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  <w:t>。</w:t>
            </w:r>
          </w:p>
          <w:p w14:paraId="0D231CE0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both"/>
              <w:spacing w:line="280" w:lineRule="exact"/>
              <w:rPr>
                <w:color w:val="auto"/>
                <w:sz w:val="20"/>
                <w:lang w:val="en-US" w:eastAsia="zh-CN"/>
                <w:szCs w:val="20"/>
                <w:rFonts w:ascii="仿宋_GB2312" w:hAnsi="仿宋_GB2312" w:eastAsia="仿宋_GB2312" w:cs="仿宋_GB2312" w:hint="eastAsia"/>
              </w:rPr>
            </w:pPr>
            <w:r>
              <w:rPr>
                <w:color w:val="auto"/>
                <w:sz w:val="20"/>
                <w:lang w:eastAsia="zh-CN"/>
                <w:szCs w:val="20"/>
                <w:rFonts w:ascii="黑体" w:hAnsi="黑体" w:eastAsia="黑体" w:cs="黑体" w:hint="eastAsia"/>
              </w:rPr>
              <w:t>依据：</w:t>
            </w:r>
            <w:r>
              <w:rPr>
                <w:color w:val="auto"/>
                <w:sz w:val="20"/>
                <w:szCs w:val="20"/>
                <w:rFonts w:ascii="仿宋_GB2312" w:hAnsi="仿宋_GB2312" w:eastAsia="仿宋_GB2312" w:cs="仿宋_GB2312" w:hint="eastAsia"/>
              </w:rPr>
              <w:t>《饲料和饲料添加剂管理条例》</w:t>
            </w:r>
            <w:r>
              <w:rPr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  <w:t>。</w:t>
            </w:r>
          </w:p>
        </w:tc>
        <w:tc>
          <w:tcPr>
            <w:tcW w:w="1410" w:type="dxa"/>
            <w:vAlign w:val="center"/>
          </w:tcPr>
          <w:p w14:paraId="07663B36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center"/>
              <w:spacing w:line="280" w:lineRule="exact"/>
              <w:rPr>
                <w:vertAlign w:val="baseline"/>
                <w:color w:val="auto"/>
                <w:sz w:val="20"/>
                <w:szCs w:val="20"/>
                <w:rFonts w:ascii="仿宋_GB2312" w:hAnsi="仿宋_GB2312" w:eastAsia="仿宋_GB2312" w:cs="仿宋_GB2312" w:hint="eastAsia"/>
              </w:rPr>
            </w:pPr>
            <w:r>
              <w:rPr>
                <w:vertAlign w:val="baseline"/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  <w:t>待上级部门统一规定</w:t>
            </w:r>
          </w:p>
        </w:tc>
        <w:tc>
          <w:tcPr>
            <w:tcW w:w="2190" w:type="dxa"/>
            <w:vAlign w:val="center"/>
          </w:tcPr>
          <w:p w14:paraId="47E69C46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center"/>
              <w:spacing w:line="280" w:lineRule="exact"/>
              <w:rPr>
                <w:vertAlign w:val="baseline"/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</w:pPr>
            <w:r>
              <w:rPr>
                <w:vertAlign w:val="baseline"/>
                <w:color w:val="auto"/>
                <w:sz w:val="20"/>
                <w:lang w:eastAsia="zh-CN"/>
                <w:rFonts w:ascii="仿宋_GB2312" w:hAnsi="仿宋_GB2312" w:eastAsia="仿宋_GB2312" w:cs="仿宋_GB2312" w:hint="eastAsia"/>
              </w:rPr>
              <w:t>一</w:t>
            </w:r>
            <w:r>
              <w:rPr>
                <w:vertAlign w:val="baseline"/>
                <w:color w:val="auto"/>
                <w:sz w:val="20"/>
                <w:lang w:eastAsia="zh-CN"/>
                <w:rFonts w:ascii="仿宋_GB2312" w:hAnsi="仿宋_GB2312" w:eastAsia="仿宋_GB2312" w:cs="仿宋_GB2312" w:hint="eastAsia"/>
              </w:rPr>
              <w:t>年</w:t>
            </w:r>
            <w:r>
              <w:rPr>
                <w:vertAlign w:val="baseline"/>
                <w:color w:val="auto"/>
                <w:sz w:val="20"/>
                <w:lang w:eastAsia="zh-CN"/>
                <w:rFonts w:ascii="仿宋_GB2312" w:hAnsi="仿宋_GB2312" w:eastAsia="仿宋_GB2312" w:cs="仿宋_GB2312" w:hint="eastAsia"/>
              </w:rPr>
              <w:t>两</w:t>
            </w:r>
            <w:r>
              <w:rPr>
                <w:vertAlign w:val="baseline"/>
                <w:color w:val="auto"/>
                <w:sz w:val="20"/>
                <w:lang w:eastAsia="zh-CN"/>
                <w:rFonts w:ascii="仿宋_GB2312" w:hAnsi="仿宋_GB2312" w:eastAsia="仿宋_GB2312" w:cs="仿宋_GB2312" w:hint="eastAsia"/>
              </w:rPr>
              <w:t>次</w:t>
            </w:r>
            <w:r>
              <w:rPr>
                <w:vertAlign w:val="baseline"/>
                <w:color w:val="auto"/>
                <w:sz w:val="20"/>
                <w:lang w:eastAsia="zh-CN"/>
                <w:rFonts w:ascii="仿宋_GB2312" w:hAnsi="仿宋_GB2312" w:eastAsia="仿宋_GB2312" w:cs="仿宋_GB2312" w:hint="eastAsia"/>
              </w:rPr>
              <w:t>例</w:t>
            </w:r>
            <w:r>
              <w:rPr>
                <w:vertAlign w:val="baseline"/>
                <w:color w:val="auto"/>
                <w:sz w:val="20"/>
                <w:lang w:eastAsia="zh-CN"/>
                <w:rFonts w:ascii="仿宋_GB2312" w:hAnsi="仿宋_GB2312" w:eastAsia="仿宋_GB2312" w:cs="仿宋_GB2312" w:hint="eastAsia"/>
              </w:rPr>
              <w:t>行</w:t>
            </w:r>
            <w:r>
              <w:rPr>
                <w:vertAlign w:val="baseline"/>
                <w:color w:val="auto"/>
                <w:sz w:val="20"/>
                <w:lang w:eastAsia="zh-CN"/>
                <w:rFonts w:ascii="仿宋_GB2312" w:hAnsi="仿宋_GB2312" w:eastAsia="仿宋_GB2312" w:cs="仿宋_GB2312" w:hint="eastAsia"/>
              </w:rPr>
              <w:t>检查</w:t>
            </w:r>
          </w:p>
        </w:tc>
      </w:tr>
      <w:tr w14:paraId="327EA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c>
          <w:tcPr>
            <w:tcW w:w="855" w:type="dxa"/>
            <w:vAlign w:val="center"/>
          </w:tcPr>
          <w:p w14:paraId="316BC6D1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center"/>
              <w:spacing w:line="280" w:lineRule="exact"/>
              <w:rPr>
                <w:vertAlign w:val="baseline"/>
                <w:color w:val="auto"/>
                <w:sz w:val="20"/>
                <w:lang w:val="en-US" w:eastAsia="zh-CN"/>
                <w:szCs w:val="20"/>
                <w:rFonts w:ascii="仿宋_GB2312" w:hAnsi="仿宋_GB2312" w:eastAsia="仿宋_GB2312" w:cs="仿宋_GB2312" w:hint="eastAsia"/>
              </w:rPr>
            </w:pPr>
            <w:r>
              <w:rPr>
                <w:vertAlign w:val="baseline"/>
                <w:color w:val="auto"/>
                <w:sz w:val="20"/>
                <w:lang w:val="en-US" w:eastAsia="zh-CN"/>
                <w:szCs w:val="20"/>
                <w:rFonts w:ascii="仿宋_GB2312" w:hAnsi="仿宋_GB2312" w:eastAsia="仿宋_GB2312" w:cs="仿宋_GB2312" w:hint="eastAsia"/>
              </w:rPr>
              <w:t>5</w:t>
            </w:r>
          </w:p>
        </w:tc>
        <w:tc>
          <w:tcPr>
            <w:tcW w:w="1225" w:type="dxa"/>
            <w:vAlign w:val="center"/>
          </w:tcPr>
          <w:p w14:paraId="275BED3D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center"/>
              <w:spacing w:line="280" w:lineRule="exact"/>
              <w:rPr>
                <w:vertAlign w:val="baseline"/>
                <w:color w:val="auto"/>
                <w:sz w:val="20"/>
                <w:szCs w:val="20"/>
                <w:rFonts w:ascii="仿宋_GB2312" w:hAnsi="仿宋_GB2312" w:eastAsia="仿宋_GB2312" w:cs="仿宋_GB2312" w:hint="eastAsia"/>
              </w:rPr>
            </w:pPr>
            <w:r>
              <w:rPr>
                <w:vertAlign w:val="baseline"/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  <w:t>天门市农业农村局</w:t>
            </w:r>
          </w:p>
        </w:tc>
        <w:tc>
          <w:tcPr>
            <w:tcW w:w="1210" w:type="dxa"/>
            <w:vAlign w:val="center"/>
          </w:tcPr>
          <w:p w14:paraId="06EC036B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center"/>
              <w:spacing w:line="240" w:lineRule="exact"/>
              <w:rPr>
                <w:vertAlign w:val="baseline"/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</w:pPr>
            <w:r>
              <w:rPr>
                <w:vertAlign w:val="baseline"/>
                <w:color w:val="auto"/>
                <w:sz w:val="20"/>
                <w:lang w:eastAsia="zh-CN"/>
                <w:rFonts w:ascii="仿宋_GB2312" w:hAnsi="仿宋_GB2312" w:eastAsia="仿宋_GB2312" w:cs="仿宋_GB2312" w:hint="eastAsia"/>
              </w:rPr>
              <w:t>天门市农业农村局</w:t>
            </w:r>
          </w:p>
        </w:tc>
        <w:tc>
          <w:tcPr>
            <w:tcW w:w="6860" w:type="dxa"/>
            <w:vAlign w:val="center"/>
            <w:shd w:val="clear" w:color="auto" w:fill="auto"/>
          </w:tcPr>
          <w:p w14:paraId="27DE78B3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both"/>
              <w:spacing w:line="280" w:lineRule="exact"/>
              <w:rPr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</w:pPr>
            <w:r>
              <w:rPr>
                <w:color w:val="auto"/>
                <w:sz w:val="20"/>
                <w:lang w:eastAsia="zh-CN"/>
                <w:szCs w:val="20"/>
                <w:rFonts w:ascii="黑体" w:hAnsi="黑体" w:eastAsia="黑体" w:cs="黑体" w:hint="eastAsia"/>
              </w:rPr>
              <w:t>事项：</w:t>
            </w:r>
            <w:r>
              <w:rPr>
                <w:color w:val="auto"/>
                <w:sz w:val="20"/>
                <w:szCs w:val="20"/>
                <w:rFonts w:ascii="仿宋_GB2312" w:hAnsi="仿宋_GB2312" w:eastAsia="仿宋_GB2312" w:cs="仿宋_GB2312" w:hint="eastAsia"/>
              </w:rPr>
              <w:t>兽药</w:t>
            </w:r>
            <w:r>
              <w:rPr>
                <w:color w:val="auto"/>
                <w:sz w:val="20"/>
                <w:lang w:val="en-US" w:eastAsia="zh-CN"/>
                <w:szCs w:val="20"/>
                <w:rFonts w:ascii="仿宋_GB2312" w:hAnsi="仿宋_GB2312" w:eastAsia="仿宋_GB2312" w:cs="仿宋_GB2312" w:hint="eastAsia"/>
              </w:rPr>
              <w:t>生产</w:t>
            </w:r>
            <w:r>
              <w:rPr>
                <w:color w:val="auto"/>
                <w:sz w:val="20"/>
                <w:rFonts w:ascii="仿宋_GB2312" w:hAnsi="仿宋_GB2312" w:eastAsia="仿宋_GB2312" w:cs="仿宋_GB2312" w:hint="eastAsia"/>
              </w:rPr>
              <w:t>经营</w:t>
            </w:r>
            <w:r>
              <w:rPr>
                <w:color w:val="auto"/>
                <w:sz w:val="20"/>
                <w:rFonts w:ascii="仿宋_GB2312" w:hAnsi="仿宋_GB2312" w:eastAsia="仿宋_GB2312" w:cs="仿宋_GB2312" w:hint="eastAsia"/>
              </w:rPr>
              <w:t>企</w:t>
            </w:r>
            <w:r>
              <w:rPr>
                <w:color w:val="auto"/>
                <w:sz w:val="20"/>
                <w:rFonts w:ascii="仿宋_GB2312" w:hAnsi="仿宋_GB2312" w:eastAsia="仿宋_GB2312" w:cs="仿宋_GB2312" w:hint="eastAsia"/>
              </w:rPr>
              <w:t>业</w:t>
            </w:r>
            <w:r>
              <w:rPr>
                <w:color w:val="auto"/>
                <w:sz w:val="20"/>
                <w:rFonts w:ascii="仿宋_GB2312" w:hAnsi="仿宋_GB2312" w:eastAsia="仿宋_GB2312" w:cs="仿宋_GB2312" w:hint="eastAsia"/>
              </w:rPr>
              <w:t>质量</w:t>
            </w:r>
            <w:r>
              <w:rPr>
                <w:color w:val="auto"/>
                <w:sz w:val="20"/>
                <w:rFonts w:ascii="仿宋_GB2312" w:hAnsi="仿宋_GB2312" w:eastAsia="仿宋_GB2312" w:cs="仿宋_GB2312" w:hint="eastAsia"/>
              </w:rPr>
              <w:t>管理</w:t>
            </w:r>
            <w:r>
              <w:rPr>
                <w:color w:val="auto"/>
                <w:sz w:val="20"/>
                <w:rFonts w:ascii="仿宋_GB2312" w:hAnsi="仿宋_GB2312" w:eastAsia="仿宋_GB2312" w:cs="仿宋_GB2312" w:hint="eastAsia"/>
              </w:rPr>
              <w:t>规</w:t>
            </w:r>
            <w:r>
              <w:rPr>
                <w:color w:val="auto"/>
                <w:sz w:val="20"/>
                <w:rFonts w:ascii="仿宋_GB2312" w:hAnsi="仿宋_GB2312" w:eastAsia="仿宋_GB2312" w:cs="仿宋_GB2312" w:hint="eastAsia"/>
              </w:rPr>
              <w:t>范</w:t>
            </w:r>
            <w:r>
              <w:rPr>
                <w:color w:val="auto"/>
                <w:sz w:val="20"/>
                <w:szCs w:val="20"/>
                <w:rFonts w:ascii="仿宋_GB2312" w:hAnsi="仿宋_GB2312" w:eastAsia="仿宋_GB2312" w:cs="仿宋_GB2312" w:hint="eastAsia"/>
              </w:rPr>
              <w:t>执行情况</w:t>
            </w:r>
            <w:r>
              <w:rPr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  <w:t>。</w:t>
            </w:r>
          </w:p>
          <w:p w14:paraId="3BCB3F24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both"/>
              <w:spacing w:line="280" w:lineRule="exact"/>
              <w:rPr>
                <w:color w:val="auto"/>
                <w:sz w:val="20"/>
                <w:lang w:val="en-US" w:eastAsia="zh-CN"/>
                <w:szCs w:val="20"/>
                <w:rFonts w:ascii="仿宋_GB2312" w:hAnsi="仿宋_GB2312" w:eastAsia="仿宋_GB2312" w:cs="仿宋_GB2312" w:hint="eastAsia"/>
              </w:rPr>
            </w:pPr>
            <w:r>
              <w:rPr>
                <w:color w:val="auto"/>
                <w:sz w:val="20"/>
                <w:lang w:eastAsia="zh-CN"/>
                <w:szCs w:val="20"/>
                <w:rFonts w:ascii="黑体" w:hAnsi="黑体" w:eastAsia="黑体" w:cs="黑体" w:hint="eastAsia"/>
              </w:rPr>
              <w:t>依据：</w:t>
            </w:r>
            <w:r>
              <w:rPr>
                <w:color w:val="auto"/>
                <w:sz w:val="20"/>
                <w:szCs w:val="20"/>
                <w:rFonts w:ascii="仿宋_GB2312" w:hAnsi="仿宋_GB2312" w:eastAsia="仿宋_GB2312" w:cs="仿宋_GB2312" w:hint="eastAsia"/>
              </w:rPr>
              <w:t>《兽药管理条例》</w:t>
            </w:r>
            <w:r>
              <w:rPr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  <w:t>。</w:t>
            </w:r>
          </w:p>
        </w:tc>
        <w:tc>
          <w:tcPr>
            <w:tcW w:w="1410" w:type="dxa"/>
            <w:vAlign w:val="center"/>
          </w:tcPr>
          <w:p w14:paraId="13E1091E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center"/>
              <w:spacing w:line="280" w:lineRule="exact"/>
              <w:rPr>
                <w:vertAlign w:val="baseline"/>
                <w:color w:val="auto"/>
                <w:sz w:val="20"/>
                <w:szCs w:val="20"/>
                <w:rFonts w:ascii="仿宋_GB2312" w:hAnsi="仿宋_GB2312" w:eastAsia="仿宋_GB2312" w:cs="仿宋_GB2312" w:hint="eastAsia"/>
              </w:rPr>
            </w:pPr>
            <w:r>
              <w:rPr>
                <w:vertAlign w:val="baseline"/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  <w:t>待上级部门统一规定</w:t>
            </w:r>
          </w:p>
        </w:tc>
        <w:tc>
          <w:tcPr>
            <w:tcW w:w="2190" w:type="dxa"/>
            <w:vAlign w:val="center"/>
          </w:tcPr>
          <w:p w14:paraId="67CD2495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center"/>
              <w:spacing w:line="280" w:lineRule="exact"/>
              <w:rPr>
                <w:vertAlign w:val="baseline"/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</w:pPr>
            <w:r>
              <w:rPr>
                <w:vertAlign w:val="baseline"/>
                <w:color w:val="auto"/>
                <w:sz w:val="20"/>
                <w:lang w:eastAsia="zh-CN"/>
                <w:rFonts w:ascii="仿宋_GB2312" w:hAnsi="仿宋_GB2312" w:eastAsia="仿宋_GB2312" w:cs="仿宋_GB2312" w:hint="eastAsia"/>
              </w:rPr>
              <w:t>一</w:t>
            </w:r>
            <w:r>
              <w:rPr>
                <w:vertAlign w:val="baseline"/>
                <w:color w:val="auto"/>
                <w:sz w:val="20"/>
                <w:lang w:eastAsia="zh-CN"/>
                <w:rFonts w:ascii="仿宋_GB2312" w:hAnsi="仿宋_GB2312" w:eastAsia="仿宋_GB2312" w:cs="仿宋_GB2312" w:hint="eastAsia"/>
              </w:rPr>
              <w:t>年</w:t>
            </w:r>
            <w:r>
              <w:rPr>
                <w:vertAlign w:val="baseline"/>
                <w:color w:val="auto"/>
                <w:sz w:val="20"/>
                <w:lang w:eastAsia="zh-CN"/>
                <w:rFonts w:ascii="仿宋_GB2312" w:hAnsi="仿宋_GB2312" w:eastAsia="仿宋_GB2312" w:cs="仿宋_GB2312" w:hint="eastAsia"/>
              </w:rPr>
              <w:t>两</w:t>
            </w:r>
            <w:r>
              <w:rPr>
                <w:vertAlign w:val="baseline"/>
                <w:color w:val="auto"/>
                <w:sz w:val="20"/>
                <w:lang w:eastAsia="zh-CN"/>
                <w:rFonts w:ascii="仿宋_GB2312" w:hAnsi="仿宋_GB2312" w:eastAsia="仿宋_GB2312" w:cs="仿宋_GB2312" w:hint="eastAsia"/>
              </w:rPr>
              <w:t>次</w:t>
            </w:r>
            <w:r>
              <w:rPr>
                <w:vertAlign w:val="baseline"/>
                <w:color w:val="auto"/>
                <w:sz w:val="20"/>
                <w:lang w:eastAsia="zh-CN"/>
                <w:rFonts w:ascii="仿宋_GB2312" w:hAnsi="仿宋_GB2312" w:eastAsia="仿宋_GB2312" w:cs="仿宋_GB2312" w:hint="eastAsia"/>
              </w:rPr>
              <w:t>例</w:t>
            </w:r>
            <w:r>
              <w:rPr>
                <w:vertAlign w:val="baseline"/>
                <w:color w:val="auto"/>
                <w:sz w:val="20"/>
                <w:lang w:eastAsia="zh-CN"/>
                <w:rFonts w:ascii="仿宋_GB2312" w:hAnsi="仿宋_GB2312" w:eastAsia="仿宋_GB2312" w:cs="仿宋_GB2312" w:hint="eastAsia"/>
              </w:rPr>
              <w:t>行</w:t>
            </w:r>
            <w:r>
              <w:rPr>
                <w:vertAlign w:val="baseline"/>
                <w:color w:val="auto"/>
                <w:sz w:val="20"/>
                <w:lang w:eastAsia="zh-CN"/>
                <w:rFonts w:ascii="仿宋_GB2312" w:hAnsi="仿宋_GB2312" w:eastAsia="仿宋_GB2312" w:cs="仿宋_GB2312" w:hint="eastAsia"/>
              </w:rPr>
              <w:t>检</w:t>
            </w:r>
            <w:r>
              <w:rPr>
                <w:vertAlign w:val="baseline"/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  <w:t>查</w:t>
            </w:r>
          </w:p>
        </w:tc>
      </w:tr>
      <w:tr w14:paraId="41DD7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c>
          <w:tcPr>
            <w:tcW w:w="855" w:type="dxa"/>
            <w:vAlign w:val="center"/>
          </w:tcPr>
          <w:p w14:paraId="21F1FDDE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center"/>
              <w:spacing w:line="280" w:lineRule="exact"/>
              <w:rPr>
                <w:vertAlign w:val="baseline"/>
                <w:color w:val="auto"/>
                <w:sz w:val="20"/>
                <w:lang w:val="en-US" w:eastAsia="zh-CN"/>
                <w:szCs w:val="20"/>
                <w:rFonts w:ascii="仿宋_GB2312" w:hAnsi="仿宋_GB2312" w:eastAsia="仿宋_GB2312" w:cs="仿宋_GB2312" w:hint="eastAsia"/>
              </w:rPr>
            </w:pPr>
            <w:r>
              <w:rPr>
                <w:vertAlign w:val="baseline"/>
                <w:color w:val="auto"/>
                <w:sz w:val="20"/>
                <w:lang w:val="en-US" w:eastAsia="zh-CN"/>
                <w:szCs w:val="20"/>
                <w:rFonts w:ascii="仿宋_GB2312" w:hAnsi="仿宋_GB2312" w:eastAsia="仿宋_GB2312" w:cs="仿宋_GB2312" w:hint="eastAsia"/>
              </w:rPr>
              <w:t>6</w:t>
            </w:r>
          </w:p>
        </w:tc>
        <w:tc>
          <w:tcPr>
            <w:tcW w:w="1225" w:type="dxa"/>
            <w:vAlign w:val="center"/>
          </w:tcPr>
          <w:p w14:paraId="0CB0EA7B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center"/>
              <w:spacing w:line="280" w:lineRule="exact"/>
              <w:rPr>
                <w:vertAlign w:val="baseline"/>
                <w:color w:val="auto"/>
                <w:sz w:val="20"/>
                <w:szCs w:val="20"/>
                <w:rFonts w:ascii="仿宋_GB2312" w:hAnsi="仿宋_GB2312" w:eastAsia="仿宋_GB2312" w:cs="仿宋_GB2312" w:hint="eastAsia"/>
              </w:rPr>
            </w:pPr>
            <w:r>
              <w:rPr>
                <w:vertAlign w:val="baseline"/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  <w:t>天门市农业农村局</w:t>
            </w:r>
          </w:p>
        </w:tc>
        <w:tc>
          <w:tcPr>
            <w:tcW w:w="1210" w:type="dxa"/>
            <w:vAlign w:val="center"/>
          </w:tcPr>
          <w:p w14:paraId="7F1DBB5D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center"/>
              <w:spacing w:line="240" w:lineRule="exact"/>
              <w:rPr>
                <w:vertAlign w:val="baseline"/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</w:pPr>
            <w:r>
              <w:rPr>
                <w:vertAlign w:val="baseline"/>
                <w:color w:val="auto"/>
                <w:sz w:val="20"/>
                <w:lang w:eastAsia="zh-CN"/>
                <w:rFonts w:ascii="仿宋_GB2312" w:hAnsi="仿宋_GB2312" w:eastAsia="仿宋_GB2312" w:cs="仿宋_GB2312" w:hint="eastAsia"/>
              </w:rPr>
              <w:t>天门市农业农村局</w:t>
            </w:r>
          </w:p>
        </w:tc>
        <w:tc>
          <w:tcPr>
            <w:tcW w:w="6860" w:type="dxa"/>
            <w:vAlign w:val="center"/>
            <w:shd w:val="clear" w:color="auto" w:fill="auto"/>
          </w:tcPr>
          <w:p w14:paraId="5157F77B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both"/>
              <w:spacing w:line="280" w:lineRule="exact"/>
              <w:rPr>
                <w:color w:val="auto"/>
                <w:sz w:val="20"/>
                <w:lang w:val="en-US" w:eastAsia="zh-CN"/>
                <w:szCs w:val="20"/>
                <w:rFonts w:ascii="仿宋_GB2312" w:hAnsi="仿宋_GB2312" w:eastAsia="黑体" w:cs="仿宋_GB2312" w:hint="default"/>
              </w:rPr>
            </w:pPr>
            <w:r>
              <w:rPr>
                <w:color w:val="auto"/>
                <w:sz w:val="20"/>
                <w:lang w:eastAsia="zh-CN"/>
                <w:szCs w:val="20"/>
                <w:rFonts w:ascii="黑体" w:hAnsi="黑体" w:eastAsia="黑体" w:cs="黑体" w:hint="eastAsia"/>
              </w:rPr>
              <w:t>事项：</w:t>
            </w:r>
            <w:r>
              <w:rPr>
                <w:color w:val="auto"/>
                <w:sz w:val="20"/>
                <w:lang w:val="en-US" w:eastAsia="zh-CN"/>
                <w:rFonts w:ascii="仿宋_GB2312" w:hAnsi="仿宋_GB2312" w:eastAsia="仿宋_GB2312" w:cs="仿宋_GB2312" w:hint="eastAsia"/>
              </w:rPr>
              <w:t>农药生产经营</w:t>
            </w:r>
            <w:r>
              <w:rPr>
                <w:color w:val="auto"/>
                <w:sz w:val="20"/>
                <w:lang w:val="en-US" w:eastAsia="zh-CN"/>
                <w:rFonts w:ascii="仿宋_GB2312" w:hAnsi="仿宋_GB2312" w:eastAsia="仿宋_GB2312" w:cs="仿宋_GB2312" w:hint="eastAsia"/>
              </w:rPr>
              <w:t>企</w:t>
            </w:r>
            <w:r>
              <w:rPr>
                <w:color w:val="auto"/>
                <w:sz w:val="20"/>
                <w:lang w:val="en-US" w:eastAsia="zh-CN"/>
                <w:rFonts w:ascii="仿宋_GB2312" w:hAnsi="仿宋_GB2312" w:eastAsia="仿宋_GB2312" w:cs="仿宋_GB2312" w:hint="eastAsia"/>
              </w:rPr>
              <w:t>业</w:t>
            </w:r>
            <w:r>
              <w:rPr>
                <w:color w:val="auto"/>
                <w:sz w:val="20"/>
                <w:lang w:val="en-US" w:eastAsia="zh-CN"/>
                <w:rFonts w:ascii="仿宋_GB2312" w:hAnsi="仿宋_GB2312" w:eastAsia="仿宋_GB2312" w:cs="仿宋_GB2312" w:hint="eastAsia"/>
              </w:rPr>
              <w:t>质量</w:t>
            </w:r>
            <w:r>
              <w:rPr>
                <w:color w:val="auto"/>
                <w:sz w:val="20"/>
                <w:lang w:val="en-US" w:eastAsia="zh-CN"/>
                <w:rFonts w:ascii="仿宋_GB2312" w:hAnsi="仿宋_GB2312" w:eastAsia="仿宋_GB2312" w:cs="仿宋_GB2312" w:hint="eastAsia"/>
              </w:rPr>
              <w:t>管理</w:t>
            </w:r>
            <w:r>
              <w:rPr>
                <w:color w:val="auto"/>
                <w:sz w:val="20"/>
                <w:lang w:val="en-US" w:eastAsia="zh-CN"/>
                <w:rFonts w:ascii="仿宋_GB2312" w:hAnsi="仿宋_GB2312" w:eastAsia="仿宋_GB2312" w:cs="仿宋_GB2312" w:hint="eastAsia"/>
              </w:rPr>
              <w:t>规</w:t>
            </w:r>
            <w:r>
              <w:rPr>
                <w:color w:val="auto"/>
                <w:sz w:val="20"/>
                <w:lang w:val="en-US" w:eastAsia="zh-CN"/>
                <w:rFonts w:ascii="仿宋_GB2312" w:hAnsi="仿宋_GB2312" w:eastAsia="仿宋_GB2312" w:cs="仿宋_GB2312" w:hint="eastAsia"/>
              </w:rPr>
              <w:t>范</w:t>
            </w:r>
            <w:r>
              <w:rPr>
                <w:color w:val="auto"/>
                <w:sz w:val="20"/>
                <w:lang w:val="en-US" w:eastAsia="zh-CN"/>
                <w:szCs w:val="20"/>
                <w:rFonts w:ascii="仿宋_GB2312" w:hAnsi="仿宋_GB2312" w:eastAsia="仿宋_GB2312" w:cs="仿宋_GB2312" w:hint="eastAsia"/>
              </w:rPr>
              <w:t>执行情况。</w:t>
            </w:r>
          </w:p>
          <w:p w14:paraId="70E80433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both"/>
              <w:spacing w:line="280" w:lineRule="exact"/>
              <w:rPr>
                <w:color w:val="auto"/>
                <w:sz w:val="20"/>
                <w:lang w:val="en-US" w:eastAsia="zh-CN"/>
                <w:szCs w:val="20"/>
                <w:rFonts w:ascii="仿宋_GB2312" w:hAnsi="仿宋_GB2312" w:eastAsia="仿宋_GB2312" w:cs="仿宋_GB2312" w:hint="eastAsia"/>
              </w:rPr>
            </w:pPr>
            <w:r>
              <w:rPr>
                <w:color w:val="auto"/>
                <w:sz w:val="20"/>
                <w:lang w:eastAsia="zh-CN"/>
                <w:szCs w:val="20"/>
                <w:rFonts w:ascii="黑体" w:hAnsi="黑体" w:eastAsia="黑体" w:cs="黑体" w:hint="eastAsia"/>
              </w:rPr>
              <w:t>依据：</w:t>
            </w:r>
            <w:r>
              <w:rPr>
                <w:color w:val="auto"/>
                <w:sz w:val="20"/>
                <w:szCs w:val="20"/>
                <w:rFonts w:ascii="仿宋_GB2312" w:hAnsi="仿宋_GB2312" w:eastAsia="仿宋_GB2312" w:cs="仿宋_GB2312" w:hint="eastAsia"/>
              </w:rPr>
              <w:t>《农药管理条例》及其相关规章制度</w:t>
            </w:r>
            <w:r>
              <w:rPr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  <w:t>。</w:t>
            </w:r>
          </w:p>
        </w:tc>
        <w:tc>
          <w:tcPr>
            <w:tcW w:w="1410" w:type="dxa"/>
            <w:vAlign w:val="center"/>
          </w:tcPr>
          <w:p w14:paraId="25F35D5A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center"/>
              <w:spacing w:line="280" w:lineRule="exact"/>
              <w:rPr>
                <w:vertAlign w:val="baseline"/>
                <w:color w:val="auto"/>
                <w:sz w:val="20"/>
                <w:szCs w:val="20"/>
                <w:rFonts w:ascii="仿宋_GB2312" w:hAnsi="仿宋_GB2312" w:eastAsia="仿宋_GB2312" w:cs="仿宋_GB2312" w:hint="eastAsia"/>
              </w:rPr>
            </w:pPr>
            <w:r>
              <w:rPr>
                <w:vertAlign w:val="baseline"/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  <w:t>待上级部门统一规定</w:t>
            </w:r>
          </w:p>
        </w:tc>
        <w:tc>
          <w:tcPr>
            <w:tcW w:w="2190" w:type="dxa"/>
            <w:vAlign w:val="center"/>
          </w:tcPr>
          <w:p w14:paraId="5D4F4969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center"/>
              <w:spacing w:line="280" w:lineRule="exact"/>
              <w:rPr>
                <w:vertAlign w:val="baseline"/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</w:pPr>
            <w:r>
              <w:rPr>
                <w:vertAlign w:val="baseline"/>
                <w:color w:val="auto"/>
                <w:sz w:val="20"/>
                <w:lang w:eastAsia="zh-CN"/>
                <w:rFonts w:ascii="仿宋_GB2312" w:hAnsi="仿宋_GB2312" w:eastAsia="仿宋_GB2312" w:cs="仿宋_GB2312" w:hint="eastAsia"/>
              </w:rPr>
              <w:t>一</w:t>
            </w:r>
            <w:r>
              <w:rPr>
                <w:vertAlign w:val="baseline"/>
                <w:color w:val="auto"/>
                <w:sz w:val="20"/>
                <w:lang w:eastAsia="zh-CN"/>
                <w:rFonts w:ascii="仿宋_GB2312" w:hAnsi="仿宋_GB2312" w:eastAsia="仿宋_GB2312" w:cs="仿宋_GB2312" w:hint="eastAsia"/>
              </w:rPr>
              <w:t>年</w:t>
            </w:r>
            <w:r>
              <w:rPr>
                <w:vertAlign w:val="baseline"/>
                <w:color w:val="auto"/>
                <w:sz w:val="20"/>
                <w:lang w:eastAsia="zh-CN"/>
                <w:rFonts w:ascii="仿宋_GB2312" w:hAnsi="仿宋_GB2312" w:eastAsia="仿宋_GB2312" w:cs="仿宋_GB2312" w:hint="eastAsia"/>
              </w:rPr>
              <w:t>两</w:t>
            </w:r>
            <w:r>
              <w:rPr>
                <w:vertAlign w:val="baseline"/>
                <w:color w:val="auto"/>
                <w:sz w:val="20"/>
                <w:lang w:eastAsia="zh-CN"/>
                <w:rFonts w:ascii="仿宋_GB2312" w:hAnsi="仿宋_GB2312" w:eastAsia="仿宋_GB2312" w:cs="仿宋_GB2312" w:hint="eastAsia"/>
              </w:rPr>
              <w:t>次</w:t>
            </w:r>
            <w:r>
              <w:rPr>
                <w:vertAlign w:val="baseline"/>
                <w:color w:val="auto"/>
                <w:sz w:val="20"/>
                <w:lang w:eastAsia="zh-CN"/>
                <w:rFonts w:ascii="仿宋_GB2312" w:hAnsi="仿宋_GB2312" w:eastAsia="仿宋_GB2312" w:cs="仿宋_GB2312" w:hint="eastAsia"/>
              </w:rPr>
              <w:t>例</w:t>
            </w:r>
            <w:r>
              <w:rPr>
                <w:vertAlign w:val="baseline"/>
                <w:color w:val="auto"/>
                <w:sz w:val="20"/>
                <w:lang w:eastAsia="zh-CN"/>
                <w:rFonts w:ascii="仿宋_GB2312" w:hAnsi="仿宋_GB2312" w:eastAsia="仿宋_GB2312" w:cs="仿宋_GB2312" w:hint="eastAsia"/>
              </w:rPr>
              <w:t>行</w:t>
            </w:r>
            <w:r>
              <w:rPr>
                <w:vertAlign w:val="baseline"/>
                <w:color w:val="auto"/>
                <w:sz w:val="20"/>
                <w:lang w:eastAsia="zh-CN"/>
                <w:rFonts w:ascii="仿宋_GB2312" w:hAnsi="仿宋_GB2312" w:eastAsia="仿宋_GB2312" w:cs="仿宋_GB2312" w:hint="eastAsia"/>
              </w:rPr>
              <w:t>检</w:t>
            </w:r>
            <w:r>
              <w:rPr>
                <w:vertAlign w:val="baseline"/>
                <w:color w:val="auto"/>
                <w:sz w:val="20"/>
                <w:lang w:eastAsia="zh-CN"/>
                <w:rFonts w:ascii="仿宋_GB2312" w:hAnsi="仿宋_GB2312" w:eastAsia="仿宋_GB2312" w:cs="仿宋_GB2312" w:hint="eastAsia"/>
              </w:rPr>
              <w:t>查</w:t>
            </w:r>
          </w:p>
        </w:tc>
      </w:tr>
      <w:tr w14:paraId="675BA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c>
          <w:tcPr>
            <w:tcW w:w="855" w:type="dxa"/>
            <w:vAlign w:val="center"/>
          </w:tcPr>
          <w:p w14:paraId="0EE46BB6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center"/>
              <w:spacing w:line="280" w:lineRule="exact"/>
              <w:rPr>
                <w:vertAlign w:val="baseline"/>
                <w:color w:val="auto"/>
                <w:sz w:val="20"/>
                <w:lang w:val="en-US" w:eastAsia="zh-CN"/>
                <w:szCs w:val="20"/>
                <w:rFonts w:ascii="仿宋_GB2312" w:hAnsi="仿宋_GB2312" w:eastAsia="仿宋_GB2312" w:cs="仿宋_GB2312" w:hint="eastAsia"/>
              </w:rPr>
            </w:pPr>
            <w:r>
              <w:rPr>
                <w:vertAlign w:val="baseline"/>
                <w:color w:val="auto"/>
                <w:sz w:val="20"/>
                <w:lang w:val="en-US" w:eastAsia="zh-CN"/>
                <w:szCs w:val="20"/>
                <w:rFonts w:ascii="仿宋_GB2312" w:hAnsi="仿宋_GB2312" w:eastAsia="仿宋_GB2312" w:cs="仿宋_GB2312" w:hint="eastAsia"/>
              </w:rPr>
              <w:t>7</w:t>
            </w:r>
          </w:p>
        </w:tc>
        <w:tc>
          <w:tcPr>
            <w:tcW w:w="1225" w:type="dxa"/>
            <w:vAlign w:val="center"/>
          </w:tcPr>
          <w:p w14:paraId="58745C1E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center"/>
              <w:spacing w:line="280" w:lineRule="exact"/>
              <w:rPr>
                <w:vertAlign w:val="baseline"/>
                <w:color w:val="auto"/>
                <w:sz w:val="20"/>
                <w:szCs w:val="20"/>
                <w:rFonts w:ascii="仿宋_GB2312" w:hAnsi="仿宋_GB2312" w:eastAsia="仿宋_GB2312" w:cs="仿宋_GB2312" w:hint="eastAsia"/>
              </w:rPr>
            </w:pPr>
            <w:r>
              <w:rPr>
                <w:vertAlign w:val="baseline"/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  <w:t>天门市农业农村局</w:t>
            </w:r>
          </w:p>
        </w:tc>
        <w:tc>
          <w:tcPr>
            <w:tcW w:w="1210" w:type="dxa"/>
            <w:vAlign w:val="center"/>
          </w:tcPr>
          <w:p w14:paraId="6B638F8E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center"/>
              <w:spacing w:line="240" w:lineRule="exact"/>
              <w:rPr>
                <w:vertAlign w:val="baseline"/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</w:pPr>
            <w:r>
              <w:rPr>
                <w:vertAlign w:val="baseline"/>
                <w:color w:val="auto"/>
                <w:sz w:val="20"/>
                <w:lang w:eastAsia="zh-CN"/>
                <w:rFonts w:ascii="仿宋_GB2312" w:hAnsi="仿宋_GB2312" w:eastAsia="仿宋_GB2312" w:cs="仿宋_GB2312" w:hint="eastAsia"/>
              </w:rPr>
              <w:t>天门市农业农村局</w:t>
            </w:r>
          </w:p>
        </w:tc>
        <w:tc>
          <w:tcPr>
            <w:tcW w:w="6860" w:type="dxa"/>
            <w:vAlign w:val="center"/>
            <w:shd w:val="clear" w:color="auto" w:fill="auto"/>
          </w:tcPr>
          <w:p w14:paraId="4E2BEAE4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both"/>
              <w:spacing w:line="280" w:lineRule="exact"/>
              <w:rPr>
                <w:color w:val="auto"/>
                <w:sz w:val="20"/>
                <w:lang w:val="en-US" w:eastAsia="zh-CN"/>
                <w:szCs w:val="20"/>
                <w:rFonts w:ascii="仿宋_GB2312" w:hAnsi="仿宋_GB2312" w:eastAsia="仿宋_GB2312" w:cs="仿宋_GB2312" w:hint="default"/>
              </w:rPr>
            </w:pPr>
            <w:r>
              <w:rPr>
                <w:color w:val="auto"/>
                <w:sz w:val="20"/>
                <w:lang w:eastAsia="zh-CN"/>
                <w:szCs w:val="20"/>
                <w:rFonts w:ascii="黑体" w:hAnsi="黑体" w:eastAsia="黑体" w:cs="黑体" w:hint="eastAsia"/>
              </w:rPr>
              <w:t>事项：</w:t>
            </w:r>
            <w:r>
              <w:rPr>
                <w:color w:val="auto"/>
                <w:sz w:val="20"/>
                <w:lang w:val="en-US" w:eastAsia="zh-CN"/>
                <w:rFonts w:ascii="仿宋_GB2312" w:hAnsi="仿宋_GB2312" w:eastAsia="仿宋_GB2312" w:cs="仿宋_GB2312" w:hint="eastAsia"/>
              </w:rPr>
              <w:t>肥料生产经营</w:t>
            </w:r>
            <w:r>
              <w:rPr>
                <w:color w:val="auto"/>
                <w:sz w:val="20"/>
                <w:lang w:val="en-US" w:eastAsia="zh-CN"/>
                <w:rFonts w:ascii="仿宋_GB2312" w:hAnsi="仿宋_GB2312" w:eastAsia="仿宋_GB2312" w:cs="仿宋_GB2312" w:hint="eastAsia"/>
              </w:rPr>
              <w:t>企</w:t>
            </w:r>
            <w:r>
              <w:rPr>
                <w:color w:val="auto"/>
                <w:sz w:val="20"/>
                <w:lang w:val="en-US" w:eastAsia="zh-CN"/>
                <w:rFonts w:ascii="仿宋_GB2312" w:hAnsi="仿宋_GB2312" w:eastAsia="仿宋_GB2312" w:cs="仿宋_GB2312" w:hint="eastAsia"/>
              </w:rPr>
              <w:t>业</w:t>
            </w:r>
            <w:r>
              <w:rPr>
                <w:color w:val="auto"/>
                <w:sz w:val="20"/>
                <w:lang w:val="en-US" w:eastAsia="zh-CN"/>
                <w:rFonts w:ascii="仿宋_GB2312" w:hAnsi="仿宋_GB2312" w:eastAsia="仿宋_GB2312" w:cs="仿宋_GB2312" w:hint="eastAsia"/>
              </w:rPr>
              <w:t>质量</w:t>
            </w:r>
            <w:r>
              <w:rPr>
                <w:color w:val="auto"/>
                <w:sz w:val="20"/>
                <w:lang w:val="en-US" w:eastAsia="zh-CN"/>
                <w:rFonts w:ascii="仿宋_GB2312" w:hAnsi="仿宋_GB2312" w:eastAsia="仿宋_GB2312" w:cs="仿宋_GB2312" w:hint="eastAsia"/>
              </w:rPr>
              <w:t>管</w:t>
            </w:r>
            <w:r>
              <w:rPr>
                <w:color w:val="auto"/>
                <w:sz w:val="20"/>
                <w:lang w:val="en-US" w:eastAsia="zh-CN"/>
                <w:rFonts w:ascii="仿宋_GB2312" w:hAnsi="仿宋_GB2312" w:eastAsia="仿宋_GB2312" w:cs="仿宋_GB2312" w:hint="eastAsia"/>
              </w:rPr>
              <w:t>理</w:t>
            </w:r>
            <w:r>
              <w:rPr>
                <w:color w:val="auto"/>
                <w:sz w:val="20"/>
                <w:lang w:val="en-US" w:eastAsia="zh-CN"/>
                <w:rFonts w:ascii="仿宋_GB2312" w:hAnsi="仿宋_GB2312" w:eastAsia="仿宋_GB2312" w:cs="仿宋_GB2312" w:hint="eastAsia"/>
              </w:rPr>
              <w:t>规</w:t>
            </w:r>
            <w:r>
              <w:rPr>
                <w:color w:val="auto"/>
                <w:sz w:val="20"/>
                <w:lang w:val="en-US" w:eastAsia="zh-CN"/>
                <w:rFonts w:ascii="仿宋_GB2312" w:hAnsi="仿宋_GB2312" w:eastAsia="仿宋_GB2312" w:cs="仿宋_GB2312" w:hint="eastAsia"/>
              </w:rPr>
              <w:t>范</w:t>
            </w:r>
            <w:r>
              <w:rPr>
                <w:color w:val="auto"/>
                <w:sz w:val="20"/>
                <w:lang w:val="en-US" w:eastAsia="zh-CN"/>
                <w:szCs w:val="20"/>
                <w:rFonts w:ascii="仿宋_GB2312" w:hAnsi="仿宋_GB2312" w:eastAsia="仿宋_GB2312" w:cs="仿宋_GB2312" w:hint="eastAsia"/>
              </w:rPr>
              <w:t>执行情况。</w:t>
            </w:r>
          </w:p>
          <w:p w14:paraId="7D6FA596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both"/>
              <w:spacing w:line="280" w:lineRule="exact"/>
              <w:rPr>
                <w:color w:val="auto"/>
                <w:sz w:val="20"/>
                <w:lang w:val="en-US" w:eastAsia="zh-CN"/>
                <w:szCs w:val="20"/>
                <w:rFonts w:ascii="仿宋_GB2312" w:hAnsi="仿宋_GB2312" w:eastAsia="仿宋_GB2312" w:cs="仿宋_GB2312" w:hint="eastAsia"/>
              </w:rPr>
            </w:pPr>
            <w:r>
              <w:rPr>
                <w:color w:val="auto"/>
                <w:sz w:val="20"/>
                <w:lang w:eastAsia="zh-CN"/>
                <w:szCs w:val="20"/>
                <w:rFonts w:ascii="黑体" w:hAnsi="黑体" w:eastAsia="黑体" w:cs="黑体" w:hint="eastAsia"/>
              </w:rPr>
              <w:t>依据：</w:t>
            </w:r>
            <w:r>
              <w:rPr>
                <w:color w:val="auto"/>
                <w:sz w:val="20"/>
                <w:szCs w:val="20"/>
                <w:rFonts w:ascii="仿宋_GB2312" w:hAnsi="仿宋_GB2312" w:eastAsia="仿宋_GB2312" w:cs="仿宋_GB2312" w:hint="eastAsia"/>
              </w:rPr>
              <w:t>《肥料登记管理办法》及其相关规章制度</w:t>
            </w:r>
            <w:r>
              <w:rPr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  <w:t>。</w:t>
            </w:r>
          </w:p>
        </w:tc>
        <w:tc>
          <w:tcPr>
            <w:tcW w:w="1410" w:type="dxa"/>
            <w:vAlign w:val="center"/>
          </w:tcPr>
          <w:p w14:paraId="5EAAB18B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center"/>
              <w:spacing w:line="280" w:lineRule="exact"/>
              <w:rPr>
                <w:vertAlign w:val="baseline"/>
                <w:color w:val="auto"/>
                <w:sz w:val="20"/>
                <w:szCs w:val="20"/>
                <w:rFonts w:ascii="仿宋_GB2312" w:hAnsi="仿宋_GB2312" w:eastAsia="仿宋_GB2312" w:cs="仿宋_GB2312" w:hint="eastAsia"/>
              </w:rPr>
            </w:pPr>
            <w:r>
              <w:rPr>
                <w:vertAlign w:val="baseline"/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  <w:t>待上级部门统一规定</w:t>
            </w:r>
          </w:p>
        </w:tc>
        <w:tc>
          <w:tcPr>
            <w:tcW w:w="2190" w:type="dxa"/>
            <w:vAlign w:val="center"/>
          </w:tcPr>
          <w:p w14:paraId="62DF17D9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center"/>
              <w:spacing w:line="280" w:lineRule="exact"/>
              <w:rPr>
                <w:vertAlign w:val="baseline"/>
                <w:color w:val="auto"/>
                <w:sz w:val="20"/>
                <w:lang w:val="en-US" w:eastAsia="zh-CN"/>
                <w:szCs w:val="20"/>
                <w:rFonts w:ascii="仿宋_GB2312" w:hAnsi="仿宋_GB2312" w:eastAsia="仿宋_GB2312" w:cs="仿宋_GB2312" w:hint="default"/>
              </w:rPr>
            </w:pPr>
            <w:r>
              <w:rPr>
                <w:vertAlign w:val="baseline"/>
                <w:color w:val="auto"/>
                <w:sz w:val="20"/>
                <w:lang w:eastAsia="zh-CN"/>
                <w:rFonts w:ascii="仿宋_GB2312" w:hAnsi="仿宋_GB2312" w:eastAsia="仿宋_GB2312" w:cs="仿宋_GB2312" w:hint="eastAsia"/>
              </w:rPr>
              <w:t>一</w:t>
            </w:r>
            <w:r>
              <w:rPr>
                <w:vertAlign w:val="baseline"/>
                <w:color w:val="auto"/>
                <w:sz w:val="20"/>
                <w:lang w:eastAsia="zh-CN"/>
                <w:rFonts w:ascii="仿宋_GB2312" w:hAnsi="仿宋_GB2312" w:eastAsia="仿宋_GB2312" w:cs="仿宋_GB2312" w:hint="eastAsia"/>
              </w:rPr>
              <w:t>年</w:t>
            </w:r>
            <w:r>
              <w:rPr>
                <w:vertAlign w:val="baseline"/>
                <w:color w:val="auto"/>
                <w:sz w:val="20"/>
                <w:lang w:eastAsia="zh-CN"/>
                <w:rFonts w:ascii="仿宋_GB2312" w:hAnsi="仿宋_GB2312" w:eastAsia="仿宋_GB2312" w:cs="仿宋_GB2312" w:hint="eastAsia"/>
              </w:rPr>
              <w:t>两</w:t>
            </w:r>
            <w:r>
              <w:rPr>
                <w:vertAlign w:val="baseline"/>
                <w:color w:val="auto"/>
                <w:sz w:val="20"/>
                <w:lang w:eastAsia="zh-CN"/>
                <w:rFonts w:ascii="仿宋_GB2312" w:hAnsi="仿宋_GB2312" w:eastAsia="仿宋_GB2312" w:cs="仿宋_GB2312" w:hint="eastAsia"/>
              </w:rPr>
              <w:t>次</w:t>
            </w:r>
            <w:r>
              <w:rPr>
                <w:vertAlign w:val="baseline"/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  <w:t>例行检查</w:t>
            </w:r>
          </w:p>
        </w:tc>
      </w:tr>
      <w:tr w14:paraId="4197A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c>
          <w:tcPr>
            <w:tcW w:w="855" w:type="dxa"/>
            <w:vAlign w:val="center"/>
          </w:tcPr>
          <w:p w14:paraId="57C50B19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center"/>
              <w:spacing w:line="280" w:lineRule="exact"/>
              <w:rPr>
                <w:vertAlign w:val="baseline"/>
                <w:color w:val="auto"/>
                <w:sz w:val="20"/>
                <w:lang w:val="en-US" w:eastAsia="zh-CN"/>
                <w:szCs w:val="20"/>
                <w:rFonts w:ascii="仿宋_GB2312" w:hAnsi="仿宋_GB2312" w:eastAsia="仿宋_GB2312" w:cs="仿宋_GB2312" w:hint="default"/>
              </w:rPr>
            </w:pPr>
            <w:r>
              <w:rPr>
                <w:vertAlign w:val="baseline"/>
                <w:color w:val="auto"/>
                <w:sz w:val="20"/>
                <w:lang w:val="en-US" w:eastAsia="zh-CN"/>
                <w:szCs w:val="20"/>
                <w:rFonts w:ascii="仿宋_GB2312" w:hAnsi="仿宋_GB2312" w:eastAsia="仿宋_GB2312" w:cs="仿宋_GB2312" w:hint="eastAsia"/>
              </w:rPr>
              <w:t>8</w:t>
            </w:r>
          </w:p>
        </w:tc>
        <w:tc>
          <w:tcPr>
            <w:tcW w:w="1225" w:type="dxa"/>
            <w:vAlign w:val="center"/>
          </w:tcPr>
          <w:p w14:paraId="68F5414E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center"/>
              <w:spacing w:line="280" w:lineRule="exact"/>
              <w:rPr>
                <w:vertAlign w:val="baseline"/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</w:pPr>
            <w:r>
              <w:rPr>
                <w:vertAlign w:val="baseline"/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  <w:t>天门市农业农村局</w:t>
            </w:r>
          </w:p>
        </w:tc>
        <w:tc>
          <w:tcPr>
            <w:tcW w:w="1210" w:type="dxa"/>
            <w:vAlign w:val="center"/>
          </w:tcPr>
          <w:p w14:paraId="32914D9F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center"/>
              <w:spacing w:line="240" w:lineRule="exact"/>
              <w:rPr>
                <w:vertAlign w:val="baseline"/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</w:pPr>
            <w:r>
              <w:rPr>
                <w:vertAlign w:val="baseline"/>
                <w:color w:val="auto"/>
                <w:sz w:val="20"/>
                <w:lang w:eastAsia="zh-CN"/>
                <w:rFonts w:ascii="仿宋_GB2312" w:hAnsi="仿宋_GB2312" w:eastAsia="仿宋_GB2312" w:cs="仿宋_GB2312" w:hint="eastAsia"/>
              </w:rPr>
              <w:t>天门市农业农村局</w:t>
            </w:r>
          </w:p>
        </w:tc>
        <w:tc>
          <w:tcPr>
            <w:tcW w:w="6860" w:type="dxa"/>
            <w:vAlign w:val="center"/>
            <w:shd w:val="clear" w:color="auto" w:fill="auto"/>
          </w:tcPr>
          <w:p w14:paraId="73915BB3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both"/>
              <w:spacing w:line="280" w:lineRule="exact"/>
              <w:rPr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</w:pPr>
            <w:r>
              <w:rPr>
                <w:color w:val="auto"/>
                <w:sz w:val="20"/>
                <w:lang w:eastAsia="zh-CN"/>
                <w:szCs w:val="20"/>
                <w:rFonts w:ascii="黑体" w:hAnsi="黑体" w:eastAsia="黑体" w:cs="黑体" w:hint="eastAsia"/>
              </w:rPr>
              <w:t>事项：</w:t>
            </w:r>
            <w:r>
              <w:rPr>
                <w:color w:val="auto"/>
                <w:sz w:val="20"/>
                <w:lang w:val="en-US" w:eastAsia="zh-CN"/>
                <w:rFonts w:ascii="仿宋_GB2312" w:hAnsi="仿宋_GB2312" w:eastAsia="仿宋_GB2312" w:cs="仿宋_GB2312" w:hint="eastAsia"/>
              </w:rPr>
              <w:t>种子经营</w:t>
            </w:r>
            <w:r>
              <w:rPr>
                <w:color w:val="auto"/>
                <w:sz w:val="20"/>
                <w:lang w:val="en-US" w:eastAsia="zh-CN"/>
                <w:rFonts w:ascii="仿宋_GB2312" w:hAnsi="仿宋_GB2312" w:eastAsia="仿宋_GB2312" w:cs="仿宋_GB2312" w:hint="eastAsia"/>
              </w:rPr>
              <w:t>企</w:t>
            </w:r>
            <w:r>
              <w:rPr>
                <w:color w:val="auto"/>
                <w:sz w:val="20"/>
                <w:lang w:val="en-US" w:eastAsia="zh-CN"/>
                <w:rFonts w:ascii="仿宋_GB2312" w:hAnsi="仿宋_GB2312" w:eastAsia="仿宋_GB2312" w:cs="仿宋_GB2312" w:hint="eastAsia"/>
              </w:rPr>
              <w:t>业</w:t>
            </w:r>
            <w:r>
              <w:rPr>
                <w:color w:val="auto"/>
                <w:sz w:val="20"/>
                <w:lang w:val="en-US" w:eastAsia="zh-CN"/>
                <w:rFonts w:ascii="仿宋_GB2312" w:hAnsi="仿宋_GB2312" w:eastAsia="仿宋_GB2312" w:cs="仿宋_GB2312" w:hint="eastAsia"/>
              </w:rPr>
              <w:t>质量</w:t>
            </w:r>
            <w:r>
              <w:rPr>
                <w:color w:val="auto"/>
                <w:sz w:val="20"/>
                <w:lang w:val="en-US" w:eastAsia="zh-CN"/>
                <w:rFonts w:ascii="仿宋_GB2312" w:hAnsi="仿宋_GB2312" w:eastAsia="仿宋_GB2312" w:cs="仿宋_GB2312" w:hint="eastAsia"/>
              </w:rPr>
              <w:t>管理</w:t>
            </w:r>
            <w:r>
              <w:rPr>
                <w:color w:val="auto"/>
                <w:sz w:val="20"/>
                <w:lang w:val="en-US" w:eastAsia="zh-CN"/>
                <w:rFonts w:ascii="仿宋_GB2312" w:hAnsi="仿宋_GB2312" w:eastAsia="仿宋_GB2312" w:cs="仿宋_GB2312" w:hint="eastAsia"/>
              </w:rPr>
              <w:t>规</w:t>
            </w:r>
            <w:r>
              <w:rPr>
                <w:color w:val="auto"/>
                <w:sz w:val="20"/>
                <w:lang w:val="en-US" w:eastAsia="zh-CN"/>
                <w:rFonts w:ascii="仿宋_GB2312" w:hAnsi="仿宋_GB2312" w:eastAsia="仿宋_GB2312" w:cs="仿宋_GB2312" w:hint="eastAsia"/>
              </w:rPr>
              <w:t>范</w:t>
            </w:r>
            <w:r>
              <w:rPr>
                <w:color w:val="auto"/>
                <w:sz w:val="20"/>
                <w:lang w:val="en-US" w:eastAsia="zh-CN"/>
                <w:szCs w:val="20"/>
                <w:rFonts w:ascii="仿宋_GB2312" w:hAnsi="仿宋_GB2312" w:eastAsia="仿宋_GB2312" w:cs="仿宋_GB2312" w:hint="eastAsia"/>
              </w:rPr>
              <w:t>执行情况</w:t>
            </w:r>
            <w:r>
              <w:rPr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  <w:t>。</w:t>
            </w:r>
          </w:p>
          <w:p w14:paraId="37564BE5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both"/>
              <w:spacing w:line="280" w:lineRule="exact"/>
              <w:rPr>
                <w:color w:val="auto"/>
                <w:sz w:val="20"/>
                <w:lang w:val="en-US" w:eastAsia="zh-CN"/>
                <w:szCs w:val="20"/>
                <w:rFonts w:ascii="仿宋_GB2312" w:hAnsi="仿宋_GB2312" w:eastAsia="仿宋_GB2312" w:cs="仿宋_GB2312" w:hint="eastAsia"/>
              </w:rPr>
            </w:pPr>
            <w:r>
              <w:rPr>
                <w:color w:val="auto"/>
                <w:sz w:val="20"/>
                <w:lang w:eastAsia="zh-CN"/>
                <w:szCs w:val="20"/>
                <w:rFonts w:ascii="黑体" w:hAnsi="黑体" w:eastAsia="黑体" w:cs="黑体" w:hint="eastAsia"/>
              </w:rPr>
              <w:t>依据：</w:t>
            </w:r>
            <w:r>
              <w:rPr>
                <w:color w:val="auto"/>
                <w:sz w:val="20"/>
                <w:szCs w:val="20"/>
                <w:rFonts w:ascii="仿宋_GB2312" w:hAnsi="仿宋_GB2312" w:eastAsia="仿宋_GB2312" w:cs="仿宋_GB2312" w:hint="eastAsia"/>
              </w:rPr>
              <w:t>《</w:t>
            </w:r>
            <w:r>
              <w:rPr>
                <w:color w:val="auto"/>
                <w:sz w:val="20"/>
                <w:lang w:val="en-US" w:eastAsia="zh-CN"/>
                <w:szCs w:val="20"/>
                <w:rFonts w:ascii="仿宋_GB2312" w:hAnsi="仿宋_GB2312" w:eastAsia="仿宋_GB2312" w:cs="仿宋_GB2312" w:hint="eastAsia"/>
              </w:rPr>
              <w:t>中华人民共和国种子法</w:t>
            </w:r>
            <w:r>
              <w:rPr>
                <w:color w:val="auto"/>
                <w:sz w:val="20"/>
                <w:szCs w:val="20"/>
                <w:rFonts w:ascii="仿宋_GB2312" w:hAnsi="仿宋_GB2312" w:eastAsia="仿宋_GB2312" w:cs="仿宋_GB2312" w:hint="eastAsia"/>
              </w:rPr>
              <w:t>》</w:t>
            </w:r>
            <w:r>
              <w:rPr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  <w:t>。</w:t>
            </w:r>
          </w:p>
        </w:tc>
        <w:tc>
          <w:tcPr>
            <w:tcW w:w="1410" w:type="dxa"/>
            <w:vAlign w:val="center"/>
          </w:tcPr>
          <w:p w14:paraId="4ADFB8AF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center"/>
              <w:spacing w:line="280" w:lineRule="exact"/>
              <w:rPr>
                <w:vertAlign w:val="baseline"/>
                <w:color w:val="auto"/>
                <w:sz w:val="20"/>
                <w:szCs w:val="20"/>
                <w:rFonts w:ascii="仿宋_GB2312" w:hAnsi="仿宋_GB2312" w:eastAsia="仿宋_GB2312" w:cs="仿宋_GB2312" w:hint="eastAsia"/>
              </w:rPr>
            </w:pPr>
            <w:r>
              <w:rPr>
                <w:vertAlign w:val="baseline"/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  <w:t>待上级部门统一规定</w:t>
            </w:r>
          </w:p>
        </w:tc>
        <w:tc>
          <w:tcPr>
            <w:tcW w:w="2190" w:type="dxa"/>
            <w:vAlign w:val="center"/>
          </w:tcPr>
          <w:p w14:paraId="39AC4920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center"/>
              <w:spacing w:line="280" w:lineRule="exact"/>
              <w:rPr>
                <w:vertAlign w:val="baseline"/>
                <w:color w:val="auto"/>
                <w:sz w:val="20"/>
                <w:lang w:val="en-US"/>
                <w:szCs w:val="20"/>
                <w:rFonts w:ascii="仿宋_GB2312" w:hAnsi="仿宋_GB2312" w:eastAsia="仿宋_GB2312" w:cs="仿宋_GB2312" w:hint="default"/>
              </w:rPr>
            </w:pPr>
            <w:bookmarkStart w:id="0" w:name="_GoBack"/>
            <w:bookmarkEnd w:id="0"/>
            <w:r>
              <w:rPr>
                <w:vertAlign w:val="baseline"/>
                <w:color w:val="auto"/>
                <w:sz w:val="20"/>
                <w:lang w:val="en-US" w:eastAsia="zh-CN"/>
                <w:szCs w:val="20"/>
                <w:rFonts w:ascii="仿宋_GB2312" w:hAnsi="仿宋_GB2312" w:eastAsia="仿宋_GB2312" w:cs="仿宋_GB2312" w:hint="eastAsia"/>
              </w:rPr>
              <w:t>春秋两季检查</w:t>
            </w:r>
          </w:p>
        </w:tc>
      </w:tr>
      <w:tr w14:paraId="60A5F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c>
          <w:tcPr>
            <w:tcW w:w="855" w:type="dxa"/>
            <w:vAlign w:val="center"/>
          </w:tcPr>
          <w:p w14:paraId="3EA7CAFE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center"/>
              <w:spacing w:line="280" w:lineRule="exact"/>
              <w:rPr>
                <w:vertAlign w:val="baseline"/>
                <w:color w:val="auto"/>
                <w:sz w:val="20"/>
                <w:lang w:val="en-US" w:eastAsia="zh-CN"/>
                <w:szCs w:val="20"/>
                <w:rFonts w:ascii="仿宋_GB2312" w:hAnsi="仿宋_GB2312" w:eastAsia="仿宋_GB2312" w:cs="仿宋_GB2312" w:hint="default"/>
              </w:rPr>
            </w:pPr>
            <w:r>
              <w:rPr>
                <w:vertAlign w:val="baseline"/>
                <w:color w:val="auto"/>
                <w:sz w:val="20"/>
                <w:lang w:val="en-US" w:eastAsia="zh-CN"/>
                <w:szCs w:val="20"/>
                <w:rFonts w:ascii="仿宋_GB2312" w:hAnsi="仿宋_GB2312" w:eastAsia="仿宋_GB2312" w:cs="仿宋_GB2312" w:hint="eastAsia"/>
              </w:rPr>
              <w:t>9</w:t>
            </w:r>
          </w:p>
        </w:tc>
        <w:tc>
          <w:tcPr>
            <w:tcW w:w="1225" w:type="dxa"/>
            <w:vAlign w:val="center"/>
          </w:tcPr>
          <w:p w14:paraId="588AA92A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center"/>
              <w:spacing w:line="280" w:lineRule="exact"/>
              <w:rPr>
                <w:vertAlign w:val="baseline"/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</w:pPr>
            <w:r>
              <w:rPr>
                <w:vertAlign w:val="baseline"/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  <w:t>天门市农业农村局</w:t>
            </w:r>
          </w:p>
        </w:tc>
        <w:tc>
          <w:tcPr>
            <w:tcW w:w="1210" w:type="dxa"/>
            <w:vAlign w:val="center"/>
          </w:tcPr>
          <w:p w14:paraId="451ABCD6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center"/>
              <w:spacing w:line="240" w:lineRule="exact"/>
              <w:rPr>
                <w:vertAlign w:val="baseline"/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</w:pPr>
            <w:r>
              <w:rPr>
                <w:vertAlign w:val="baseline"/>
                <w:color w:val="auto"/>
                <w:sz w:val="20"/>
                <w:lang w:eastAsia="zh-CN"/>
                <w:rFonts w:ascii="仿宋_GB2312" w:hAnsi="仿宋_GB2312" w:eastAsia="仿宋_GB2312" w:cs="仿宋_GB2312" w:hint="eastAsia"/>
              </w:rPr>
              <w:t>天门市农业农村局</w:t>
            </w:r>
          </w:p>
        </w:tc>
        <w:tc>
          <w:tcPr>
            <w:tcW w:w="6860" w:type="dxa"/>
            <w:vAlign w:val="center"/>
            <w:shd w:val="clear" w:color="auto" w:fill="auto"/>
          </w:tcPr>
          <w:p w14:paraId="3AC44967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both"/>
              <w:spacing w:line="280" w:lineRule="exact"/>
              <w:rPr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</w:pPr>
            <w:r>
              <w:rPr>
                <w:color w:val="auto"/>
                <w:sz w:val="20"/>
                <w:lang w:eastAsia="zh-CN"/>
                <w:szCs w:val="20"/>
                <w:rFonts w:ascii="黑体" w:hAnsi="黑体" w:eastAsia="黑体" w:cs="黑体" w:hint="eastAsia"/>
              </w:rPr>
              <w:t>事项：</w:t>
            </w:r>
            <w:r>
              <w:rPr>
                <w:color w:val="auto"/>
                <w:sz w:val="20"/>
                <w:szCs w:val="20"/>
                <w:rFonts w:ascii="仿宋_GB2312" w:hAnsi="仿宋_GB2312" w:eastAsia="仿宋_GB2312" w:cs="仿宋_GB2312" w:hint="eastAsia"/>
              </w:rPr>
              <w:t>农产品种植业专业合作社的农产品生产记录情况</w:t>
            </w:r>
            <w:r>
              <w:rPr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  <w:t>。</w:t>
            </w:r>
          </w:p>
          <w:p w14:paraId="76D44CCC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both"/>
              <w:spacing w:line="280" w:lineRule="exact"/>
              <w:rPr>
                <w:color w:val="auto"/>
                <w:sz w:val="20"/>
                <w:lang w:val="en-US" w:eastAsia="zh-CN"/>
                <w:szCs w:val="20"/>
                <w:rFonts w:ascii="仿宋_GB2312" w:hAnsi="仿宋_GB2312" w:eastAsia="仿宋_GB2312" w:cs="仿宋_GB2312" w:hint="eastAsia"/>
              </w:rPr>
            </w:pPr>
            <w:r>
              <w:rPr>
                <w:color w:val="auto"/>
                <w:sz w:val="20"/>
                <w:lang w:eastAsia="zh-CN"/>
                <w:szCs w:val="20"/>
                <w:rFonts w:ascii="黑体" w:hAnsi="黑体" w:eastAsia="黑体" w:cs="黑体" w:hint="eastAsia"/>
              </w:rPr>
              <w:t>依据：</w:t>
            </w:r>
            <w:r>
              <w:rPr>
                <w:color w:val="auto"/>
                <w:sz w:val="20"/>
                <w:szCs w:val="20"/>
                <w:rFonts w:ascii="仿宋_GB2312" w:hAnsi="仿宋_GB2312" w:eastAsia="仿宋_GB2312" w:cs="仿宋_GB2312" w:hint="eastAsia"/>
              </w:rPr>
              <w:t>《中华人民共和国农产品质量安全法</w:t>
            </w:r>
            <w:r>
              <w:rPr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  <w:t>》。</w:t>
            </w:r>
          </w:p>
        </w:tc>
        <w:tc>
          <w:tcPr>
            <w:tcW w:w="1410" w:type="dxa"/>
            <w:vAlign w:val="center"/>
          </w:tcPr>
          <w:p w14:paraId="24F0BFEA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center"/>
              <w:spacing w:line="280" w:lineRule="exact"/>
              <w:rPr>
                <w:vertAlign w:val="baseline"/>
                <w:color w:val="auto"/>
                <w:sz w:val="20"/>
                <w:szCs w:val="20"/>
                <w:rFonts w:ascii="仿宋_GB2312" w:hAnsi="仿宋_GB2312" w:eastAsia="仿宋_GB2312" w:cs="仿宋_GB2312" w:hint="eastAsia"/>
              </w:rPr>
            </w:pPr>
            <w:r>
              <w:rPr>
                <w:vertAlign w:val="baseline"/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  <w:t>待上级部门统一规定</w:t>
            </w:r>
          </w:p>
        </w:tc>
        <w:tc>
          <w:tcPr>
            <w:tcW w:w="2190" w:type="dxa"/>
            <w:vAlign w:val="center"/>
          </w:tcPr>
          <w:p w14:paraId="6B5441E5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center"/>
              <w:spacing w:line="280" w:lineRule="exact"/>
              <w:rPr>
                <w:vertAlign w:val="baseline"/>
                <w:color w:val="auto"/>
                <w:sz w:val="20"/>
                <w:szCs w:val="20"/>
                <w:rFonts w:ascii="仿宋_GB2312" w:hAnsi="仿宋_GB2312" w:eastAsia="仿宋_GB2312" w:cs="仿宋_GB2312" w:hint="eastAsia"/>
              </w:rPr>
            </w:pPr>
            <w:r>
              <w:rPr>
                <w:vertAlign w:val="baseline"/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  <w:t>每季度例行检查</w:t>
            </w:r>
          </w:p>
        </w:tc>
      </w:tr>
    </w:tbl>
    <w:p w14:paraId="33D0704C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spacing w:line="20" w:lineRule="exact"/>
        <w:rPr>
          <w:sz w:val="32"/>
          <w:szCs w:val="32"/>
        </w:rPr>
      </w:pPr>
    </w:p>
    <w:sectPr>
      <w:docGrid w:type="lines" w:linePitch="312" w:charSpace="0"/>
      <w:pgSz w:w="16838" w:h="11906" w:orient="landscape"/>
      <w:pgMar w:top="1587" w:right="1587" w:bottom="1361" w:left="1587" w:header="851" w:footer="992" w:gutter="0"/>
      <w:cols w:space="0" w:num="1"/>
      <w:rtlGutter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14="http://schemas.microsoft.com/office/word/2010/wordml" xmlns:w="http://schemas.openxmlformats.org/wordprocessingml/2006/main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w="http://schemas.openxmlformats.org/wordprocessingml/2006/main" xmlns:m="http://schemas.openxmlformats.org/officeDocument/2006/math" xmlns:w10="urn:schemas-microsoft-com:office:word" xmlns:wpsCustomData="http://www.wps.cn/officeDocument/2013/wpsCustomData" xmlns:v="urn:schemas-microsoft-com:vml" xmlns:sl="http://schemas.openxmlformats.org/schemaLibrary/2006/main" xmlns:r="http://schemas.openxmlformats.org/officeDocument/2006/relationships" xmlns:w14="http://schemas.microsoft.com/office/word/2010/wordml" mc:Ignorable="w14">
  <w:bordersDoNotSurroundHeader/>
  <w:bordersDoNotSurroundFooter/>
  <w:defaultTabStop w:val="420"/>
  <w:drawingGridVerticalSpacing w:val="156"/>
  <w:displayHorizontalDrawingGridEvery w:val="1"/>
  <w:displayVerticalDrawingGridEvery w:val="1"/>
  <w:characterSpacingControl w:val="compressPunctuation"/>
  <w:zoom w:percent="140"/>
  <w:compat>
    <w:spaceForUL/>
    <w:balanceSingleByteDoubleByteWidth/>
    <w:doNotLeaveBackslashAlone/>
    <w:ulTrailSpace/>
    <w:doNotExpandShiftReturn/>
    <w:adjustLineHeightInTable/>
    <w:useFELayout/>
    <w:compatSetting w:val="14" w:uri="http://schemas.microsoft.com/office/word" w:name="compatibilityMode"/>
    <w:compatSetting w:val="1" w:uri="http://schemas.microsoft.com/office/word" w:name="overrideTableStyleFontSizeAndJustification"/>
    <w:compatSetting w:val="1" w:uri="http://schemas.microsoft.com/office/word" w:name="enableOpenTypeFeatures"/>
    <w:compatSetting w:val="1" w:uri="http://schemas.microsoft.com/office/word" w:name="doNotFlipMirrorIndents"/>
  </w:compat>
  <w:rsids>
    <w:rsidRoot w:val="7A237491"/>
    <w:rsid w:val="106739C7"/>
    <w:rsid w:val="13BB14CF"/>
    <w:rsid w:val="13C72946"/>
    <w:rsid w:val="256004E8"/>
    <w:rsid w:val="35D8745E"/>
    <w:rsid w:val="3A9674EC"/>
    <w:rsid w:val="41284F74"/>
    <w:rsid w:val="5C046E6D"/>
    <w:rsid w:val="63046EAB"/>
    <w:rsid w:val="67067574"/>
    <w:rsid w:val="7A237491"/>
  </w:rsids>
  <m:mathPr>
    <m:mathFont val="Cambria Math"/>
    <m:brkBin val="before"/>
    <m:brkBinSub val="--"/>
    <m:smallFrac val="0"/>
    <m:dispDef/>
    <m:lMargin val="0"/>
    <m:rMargin val="0"/>
    <m:defJc val="centerGroup"/>
    <m:wrapIndent val="1440"/>
    <m:intLim val="subSup"/>
    <m:naryLim val="undOvr"/>
  </m:mathPr>
  <w:themeFontLang w:eastAsia="zh-CN" w:val="en-US"/>
  <w:clrSchemeMapping w:bg1="lt1" w:t1="dark1" w:bg2="lt2" w:t2="dark2" w:accent1="accent1" w:accent2="accent2" w:accent3="accent3" w:accent4="accent4" w:accent5="accent5" w:accent6="accent6" w:hyperlink="hyperlink" w:followedHyperlink="followedHyperlink" tx1="dk1" tx2="dk2"/>
  <w:decimalSymbol/>
  <w:listSeparator/>
</w:settings>
</file>

<file path=word/styles.xml><?xml version="1.0" encoding="utf-8"?>
<w:styles xmlns:mc="http://schemas.openxmlformats.org/markup-compatibility/2006" xmlns:o="urn:schemas-microsoft-com:office:office" xmlns:w="http://schemas.openxmlformats.org/wordprocessingml/2006/main" xmlns:m="http://schemas.openxmlformats.org/officeDocument/2006/math" xmlns:v="urn:schemas-microsoft-com:vml" xmlns:sl="http://schemas.openxmlformats.org/schemaLibrary/2006/main" xmlns:r="http://schemas.openxmlformats.org/officeDocument/2006/relationships" xmlns:w14="http://schemas.microsoft.com/office/word/2010/wordml" xmlns:w10="urn:schemas-microsoft-com:office:word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defLockedState="0" w:defSemiHidden="1" w:defUnhideWhenUsed="1" w:defQFormat="0" w:defUIPriority="99" w:count="260">
    <w:lsdException w:name="Balloon Text" w:semiHidden="0" w:unhideWhenUsed="0"/>
    <w:lsdException w:name="Block Text" w:semiHidden="0" w:unhideWhenUsed="0"/>
    <w:lsdException w:name="Body Text" w:semiHidden="0" w:unhideWhenUsed="0"/>
    <w:lsdException w:name="Body Text 2" w:semiHidden="0" w:unhideWhenUsed="0"/>
    <w:lsdException w:name="Body Text 3" w:semiHidden="0" w:unhideWhenUsed="0"/>
    <w:lsdException w:name="Body Text First Indent" w:semiHidden="0" w:unhideWhenUsed="0"/>
    <w:lsdException w:name="Body Text First Indent 2" w:semiHidden="0" w:unhideWhenUsed="0"/>
    <w:lsdException w:name="Body Text Indent" w:semiHidden="0" w:unhideWhenUsed="0"/>
    <w:lsdException w:name="Body Text Indent 2" w:semiHidden="0" w:unhideWhenUsed="0"/>
    <w:lsdException w:name="Body Text Indent 3" w:semiHidden="0" w:unhideWhenUsed="0"/>
    <w:lsdException w:name="Closing" w:semiHidden="0" w:unhideWhenUsed="0"/>
    <w:lsdException w:name="Colorful Grid" w:semiHidden="0" w:unhideWhenUsed="0"/>
    <w:lsdException w:name="Colorful Grid Accent 1" w:semiHidden="0" w:unhideWhenUsed="0"/>
    <w:lsdException w:name="Colorful Grid Accent 2" w:semiHidden="0" w:unhideWhenUsed="0"/>
    <w:lsdException w:name="Colorful Grid Accent 3" w:semiHidden="0" w:unhideWhenUsed="0"/>
    <w:lsdException w:name="Colorful Grid Accent 4" w:semiHidden="0" w:unhideWhenUsed="0"/>
    <w:lsdException w:name="Colorful Grid Accent 5" w:semiHidden="0" w:unhideWhenUsed="0"/>
    <w:lsdException w:name="Colorful Grid Accent 6" w:semiHidden="0" w:unhideWhenUsed="0"/>
    <w:lsdException w:name="Colorful List" w:semiHidden="0" w:unhideWhenUsed="0"/>
    <w:lsdException w:name="Colorful List Accent 1" w:semiHidden="0" w:unhideWhenUsed="0"/>
    <w:lsdException w:name="Colorful List Accent 2" w:semiHidden="0" w:unhideWhenUsed="0"/>
    <w:lsdException w:name="Colorful List Accent 3" w:semiHidden="0" w:unhideWhenUsed="0"/>
    <w:lsdException w:name="Colorful List Accent 4" w:semiHidden="0" w:unhideWhenUsed="0"/>
    <w:lsdException w:name="Colorful List Accent 5" w:semiHidden="0" w:unhideWhenUsed="0"/>
    <w:lsdException w:name="Colorful List Accent 6" w:semiHidden="0" w:unhideWhenUsed="0"/>
    <w:lsdException w:name="Colorful Shading" w:semiHidden="0" w:unhideWhenUsed="0"/>
    <w:lsdException w:name="Colorful Shading Accent 1" w:semiHidden="0" w:unhideWhenUsed="0"/>
    <w:lsdException w:name="Colorful Shading Accent 2" w:semiHidden="0" w:unhideWhenUsed="0"/>
    <w:lsdException w:name="Colorful Shading Accent 3" w:semiHidden="0" w:unhideWhenUsed="0"/>
    <w:lsdException w:name="Colorful Shading Accent 4" w:semiHidden="0" w:unhideWhenUsed="0"/>
    <w:lsdException w:name="Colorful Shading Accent 5" w:semiHidden="0" w:unhideWhenUsed="0"/>
    <w:lsdException w:name="Colorful Shading Accent 6" w:semiHidden="0" w:unhideWhenUsed="0"/>
    <w:lsdException w:name="Dark List" w:semiHidden="0" w:unhideWhenUsed="0"/>
    <w:lsdException w:name="Dark List Accent 1" w:semiHidden="0" w:unhideWhenUsed="0"/>
    <w:lsdException w:name="Dark List Accent 2" w:semiHidden="0" w:unhideWhenUsed="0"/>
    <w:lsdException w:name="Dark List Accent 3" w:semiHidden="0" w:unhideWhenUsed="0"/>
    <w:lsdException w:name="Dark List Accent 4" w:semiHidden="0" w:unhideWhenUsed="0"/>
    <w:lsdException w:name="Dark List Accent 5" w:semiHidden="0" w:unhideWhenUsed="0"/>
    <w:lsdException w:name="Dark List Accent 6" w:semiHidden="0" w:unhideWhenUsed="0"/>
    <w:lsdException w:name="Date" w:semiHidden="0" w:unhideWhenUsed="0"/>
    <w:lsdException w:name="Default Paragraph Font" w:unhideWhenUsed="0"/>
    <w:lsdException w:name="Document Map" w:semiHidden="0" w:unhideWhenUsed="0"/>
    <w:lsdException w:name="E-mail Signature" w:semiHidden="0" w:unhideWhenUsed="0"/>
    <w:lsdException w:name="Emphasis" w:semiHidden="0" w:unhideWhenUsed="0"/>
    <w:lsdException w:name="FollowedHyperlink" w:semiHidden="0" w:unhideWhenUsed="0"/>
    <w:lsdException w:name="HTML Acronym" w:semiHidden="0" w:unhideWhenUsed="0"/>
    <w:lsdException w:name="HTML Address" w:semiHidden="0" w:unhideWhenUsed="0"/>
    <w:lsdException w:name="HTML Cite" w:semiHidden="0" w:unhideWhenUsed="0"/>
    <w:lsdException w:name="HTML Code" w:semiHidden="0" w:unhideWhenUsed="0"/>
    <w:lsdException w:name="HTML Definition" w:semiHidden="0" w:unhideWhenUsed="0"/>
    <w:lsdException w:name="HTML Keyboard" w:semiHidden="0" w:unhideWhenUsed="0"/>
    <w:lsdException w:name="HTML Preformatted" w:semiHidden="0" w:unhideWhenUsed="0"/>
    <w:lsdException w:name="HTML Sample" w:semiHidden="0" w:unhideWhenUsed="0"/>
    <w:lsdException w:name="HTML Typewriter" w:semiHidden="0" w:unhideWhenUsed="0"/>
    <w:lsdException w:name="HTML Variable" w:semiHidden="0" w:unhideWhenUsed="0"/>
    <w:lsdException w:name="Hyperlink" w:semiHidden="0" w:unhideWhenUsed="0"/>
    <w:lsdException w:name="Light Grid" w:semiHidden="0" w:unhideWhenUsed="0"/>
    <w:lsdException w:name="Light Grid Accent 1" w:semiHidden="0" w:unhideWhenUsed="0"/>
    <w:lsdException w:name="Light Grid Accent 2" w:semiHidden="0" w:unhideWhenUsed="0"/>
    <w:lsdException w:name="Light Grid Accent 3" w:semiHidden="0" w:unhideWhenUsed="0"/>
    <w:lsdException w:name="Light Grid Accent 4" w:semiHidden="0" w:unhideWhenUsed="0"/>
    <w:lsdException w:name="Light Grid Accent 5" w:semiHidden="0" w:unhideWhenUsed="0"/>
    <w:lsdException w:name="Light Grid Accent 6" w:semiHidden="0" w:unhideWhenUsed="0"/>
    <w:lsdException w:name="Light List" w:semiHidden="0" w:unhideWhenUsed="0"/>
    <w:lsdException w:name="Light List Accent 1" w:semiHidden="0" w:unhideWhenUsed="0"/>
    <w:lsdException w:name="Light List Accent 2" w:semiHidden="0" w:unhideWhenUsed="0"/>
    <w:lsdException w:name="Light List Accent 3" w:semiHidden="0" w:unhideWhenUsed="0"/>
    <w:lsdException w:name="Light List Accent 4" w:semiHidden="0" w:unhideWhenUsed="0"/>
    <w:lsdException w:name="Light List Accent 5" w:semiHidden="0" w:unhideWhenUsed="0"/>
    <w:lsdException w:name="Light List Accent 6" w:semiHidden="0" w:unhideWhenUsed="0"/>
    <w:lsdException w:name="Light Shading" w:semiHidden="0" w:unhideWhenUsed="0"/>
    <w:lsdException w:name="Light Shading Accent 1" w:semiHidden="0" w:unhideWhenUsed="0"/>
    <w:lsdException w:name="Light Shading Accent 2" w:semiHidden="0" w:unhideWhenUsed="0"/>
    <w:lsdException w:name="Light Shading Accent 3" w:semiHidden="0" w:unhideWhenUsed="0"/>
    <w:lsdException w:name="Light Shading Accent 4" w:semiHidden="0" w:unhideWhenUsed="0"/>
    <w:lsdException w:name="Light Shading Accent 5" w:semiHidden="0" w:unhideWhenUsed="0"/>
    <w:lsdException w:name="Light Shading Accent 6" w:semiHidden="0" w:unhideWhenUsed="0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List Number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Medium Grid 1" w:semiHidden="0" w:unhideWhenUsed="0"/>
    <w:lsdException w:name="Medium Grid 1 Accent 1" w:semiHidden="0" w:unhideWhenUsed="0"/>
    <w:lsdException w:name="Medium Grid 1 Accent 2" w:semiHidden="0" w:unhideWhenUsed="0"/>
    <w:lsdException w:name="Medium Grid 1 Accent 3" w:semiHidden="0" w:unhideWhenUsed="0"/>
    <w:lsdException w:name="Medium Grid 1 Accent 4" w:semiHidden="0" w:unhideWhenUsed="0"/>
    <w:lsdException w:name="Medium Grid 1 Accent 5" w:semiHidden="0" w:unhideWhenUsed="0"/>
    <w:lsdException w:name="Medium Grid 1 Accent 6" w:semiHidden="0" w:unhideWhenUsed="0"/>
    <w:lsdException w:name="Medium Grid 2" w:semiHidden="0" w:unhideWhenUsed="0"/>
    <w:lsdException w:name="Medium Grid 2 Accent 1" w:semiHidden="0" w:unhideWhenUsed="0"/>
    <w:lsdException w:name="Medium Grid 2 Accent 2" w:semiHidden="0" w:unhideWhenUsed="0"/>
    <w:lsdException w:name="Medium Grid 2 Accent 3" w:semiHidden="0" w:unhideWhenUsed="0"/>
    <w:lsdException w:name="Medium Grid 2 Accent 4" w:semiHidden="0" w:unhideWhenUsed="0"/>
    <w:lsdException w:name="Medium Grid 2 Accent 5" w:semiHidden="0" w:unhideWhenUsed="0"/>
    <w:lsdException w:name="Medium Grid 2 Accent 6" w:semiHidden="0" w:unhideWhenUsed="0"/>
    <w:lsdException w:name="Medium Grid 3" w:semiHidden="0" w:unhideWhenUsed="0"/>
    <w:lsdException w:name="Medium Grid 3 Accent 1" w:semiHidden="0" w:unhideWhenUsed="0"/>
    <w:lsdException w:name="Medium Grid 3 Accent 2" w:semiHidden="0" w:unhideWhenUsed="0"/>
    <w:lsdException w:name="Medium Grid 3 Accent 3" w:semiHidden="0" w:unhideWhenUsed="0"/>
    <w:lsdException w:name="Medium Grid 3 Accent 4" w:semiHidden="0" w:unhideWhenUsed="0"/>
    <w:lsdException w:name="Medium Grid 3 Accent 5" w:semiHidden="0" w:unhideWhenUsed="0"/>
    <w:lsdException w:name="Medium Grid 3 Accent 6" w:semiHidden="0" w:unhideWhenUsed="0"/>
    <w:lsdException w:name="Medium List 1" w:semiHidden="0" w:unhideWhenUsed="0"/>
    <w:lsdException w:name="Medium List 1 Accent 1" w:semiHidden="0" w:unhideWhenUsed="0"/>
    <w:lsdException w:name="Medium List 1 Accent 2" w:semiHidden="0" w:unhideWhenUsed="0"/>
    <w:lsdException w:name="Medium List 1 Accent 3" w:semiHidden="0" w:unhideWhenUsed="0"/>
    <w:lsdException w:name="Medium List 1 Accent 4" w:semiHidden="0" w:unhideWhenUsed="0"/>
    <w:lsdException w:name="Medium List 1 Accent 5" w:semiHidden="0" w:unhideWhenUsed="0"/>
    <w:lsdException w:name="Medium List 1 Accent 6" w:semiHidden="0" w:unhideWhenUsed="0"/>
    <w:lsdException w:name="Medium List 2" w:semiHidden="0" w:unhideWhenUsed="0"/>
    <w:lsdException w:name="Medium List 2 Accent 1" w:semiHidden="0" w:unhideWhenUsed="0"/>
    <w:lsdException w:name="Medium List 2 Accent 2" w:semiHidden="0" w:unhideWhenUsed="0"/>
    <w:lsdException w:name="Medium List 2 Accent 3" w:semiHidden="0" w:unhideWhenUsed="0"/>
    <w:lsdException w:name="Medium List 2 Accent 4" w:semiHidden="0" w:unhideWhenUsed="0"/>
    <w:lsdException w:name="Medium List 2 Accent 5" w:semiHidden="0" w:unhideWhenUsed="0"/>
    <w:lsdException w:name="Medium List 2 Accent 6" w:semiHidden="0" w:unhideWhenUsed="0"/>
    <w:lsdException w:name="Medium Shading 1" w:semiHidden="0" w:unhideWhenUsed="0"/>
    <w:lsdException w:name="Medium Shading 1 Accent 1" w:semiHidden="0" w:unhideWhenUsed="0"/>
    <w:lsdException w:name="Medium Shading 1 Accent 2" w:semiHidden="0" w:unhideWhenUsed="0"/>
    <w:lsdException w:name="Medium Shading 1 Accent 3" w:semiHidden="0" w:unhideWhenUsed="0"/>
    <w:lsdException w:name="Medium Shading 1 Accent 4" w:semiHidden="0" w:unhideWhenUsed="0"/>
    <w:lsdException w:name="Medium Shading 1 Accent 5" w:semiHidden="0" w:unhideWhenUsed="0"/>
    <w:lsdException w:name="Medium Shading 1 Accent 6" w:semiHidden="0" w:unhideWhenUsed="0"/>
    <w:lsdException w:name="Medium Shading 2" w:semiHidden="0" w:unhideWhenUsed="0"/>
    <w:lsdException w:name="Medium Shading 2 Accent 1" w:semiHidden="0" w:unhideWhenUsed="0"/>
    <w:lsdException w:name="Medium Shading 2 Accent 2" w:semiHidden="0" w:unhideWhenUsed="0"/>
    <w:lsdException w:name="Medium Shading 2 Accent 3" w:semiHidden="0" w:unhideWhenUsed="0"/>
    <w:lsdException w:name="Medium Shading 2 Accent 4" w:semiHidden="0" w:unhideWhenUsed="0"/>
    <w:lsdException w:name="Medium Shading 2 Accent 5" w:semiHidden="0" w:unhideWhenUsed="0"/>
    <w:lsdException w:name="Medium Shading 2 Accent 6" w:semiHidden="0" w:unhideWhenUsed="0"/>
    <w:lsdException w:name="Message Header" w:semiHidden="0" w:unhideWhenUsed="0"/>
    <w:lsdException w:name="Normal" w:semiHidden="0" w:unhideWhenUsed="0"/>
    <w:lsdException w:name="Normal (Web)" w:semiHidden="0" w:unhideWhenUsed="0"/>
    <w:lsdException w:name="Normal Indent" w:semiHidden="0" w:unhideWhenUsed="0"/>
    <w:lsdException w:name="Normal Table" w:unhideWhenUsed="0"/>
    <w:lsdException w:name="Note Heading" w:semiHidden="0" w:unhideWhenUsed="0"/>
    <w:lsdException w:name="Plain Text" w:semiHidden="0" w:unhideWhenUsed="0"/>
    <w:lsdException w:name="Salutation" w:semiHidden="0" w:unhideWhenUsed="0"/>
    <w:lsdException w:name="Signature" w:semiHidden="0" w:unhideWhenUsed="0"/>
    <w:lsdException w:name="Strong" w:semiHidden="0" w:unhideWhenUsed="0"/>
    <w:lsdException w:name="Subtitle" w:semiHidden="0" w:unhideWhenUsed="0"/>
    <w:lsdException w:name="Table 3D effects 1" w:semiHidden="0" w:unhideWhenUsed="0"/>
    <w:lsdException w:name="Table 3D effects 2" w:semiHidden="0" w:unhideWhenUsed="0"/>
    <w:lsdException w:name="Table 3D effects 3" w:semiHidden="0" w:unhideWhenUsed="0"/>
    <w:lsdException w:name="Table Classic 1" w:semiHidden="0" w:unhideWhenUsed="0"/>
    <w:lsdException w:name="Table Classic 2" w:semiHidden="0" w:unhideWhenUsed="0"/>
    <w:lsdException w:name="Table Classic 3" w:semiHidden="0" w:unhideWhenUsed="0"/>
    <w:lsdException w:name="Table Classic 4" w:semiHidden="0" w:unhideWhenUsed="0"/>
    <w:lsdException w:name="Table Colorful 1" w:semiHidden="0" w:unhideWhenUsed="0"/>
    <w:lsdException w:name="Table Colorful 2" w:semiHidden="0" w:unhideWhenUsed="0"/>
    <w:lsdException w:name="Table Colorful 3" w:semiHidden="0" w:unhideWhenUsed="0"/>
    <w:lsdException w:name="Table Columns 1" w:semiHidden="0" w:unhideWhenUsed="0"/>
    <w:lsdException w:name="Table Columns 2" w:semiHidden="0" w:unhideWhenUsed="0"/>
    <w:lsdException w:name="Table Columns 3" w:semiHidden="0" w:unhideWhenUsed="0"/>
    <w:lsdException w:name="Table Columns 4" w:semiHidden="0" w:unhideWhenUsed="0"/>
    <w:lsdException w:name="Table Columns 5" w:semiHidden="0" w:unhideWhenUsed="0"/>
    <w:lsdException w:name="Table Contemporary" w:semiHidden="0" w:unhideWhenUsed="0"/>
    <w:lsdException w:name="Table Elegant" w:semiHidden="0" w:unhideWhenUsed="0"/>
    <w:lsdException w:name="Table Grid" w:semiHidden="0" w:unhideWhenUsed="0"/>
    <w:lsdException w:name="Table Grid 1" w:semiHidden="0" w:unhideWhenUsed="0"/>
    <w:lsdException w:name="Table Grid 2" w:semiHidden="0" w:unhideWhenUsed="0"/>
    <w:lsdException w:name="Table Grid 3" w:semiHidden="0" w:unhideWhenUsed="0"/>
    <w:lsdException w:name="Table Grid 4" w:semiHidden="0" w:unhideWhenUsed="0"/>
    <w:lsdException w:name="Table Grid 5" w:semiHidden="0" w:unhideWhenUsed="0"/>
    <w:lsdException w:name="Table Grid 6" w:semiHidden="0" w:unhideWhenUsed="0"/>
    <w:lsdException w:name="Table Grid 7" w:semiHidden="0" w:unhideWhenUsed="0"/>
    <w:lsdException w:name="Table Grid 8" w:semiHidden="0" w:unhideWhenUsed="0"/>
    <w:lsdException w:name="Table List 1" w:semiHidden="0" w:unhideWhenUsed="0"/>
    <w:lsdException w:name="Table List 2" w:semiHidden="0" w:unhideWhenUsed="0"/>
    <w:lsdException w:name="Table List 3" w:semiHidden="0" w:unhideWhenUsed="0"/>
    <w:lsdException w:name="Table List 4" w:semiHidden="0" w:unhideWhenUsed="0"/>
    <w:lsdException w:name="Table List 5" w:semiHidden="0" w:unhideWhenUsed="0"/>
    <w:lsdException w:name="Table List 6" w:semiHidden="0" w:unhideWhenUsed="0"/>
    <w:lsdException w:name="Table List 7" w:semiHidden="0" w:unhideWhenUsed="0"/>
    <w:lsdException w:name="Table List 8" w:semiHidden="0" w:unhideWhenUsed="0"/>
    <w:lsdException w:name="Table Professional" w:semiHidden="0" w:unhideWhenUsed="0"/>
    <w:lsdException w:name="Table Simple 1" w:semiHidden="0" w:unhideWhenUsed="0"/>
    <w:lsdException w:name="Table Simple 2" w:semiHidden="0" w:unhideWhenUsed="0"/>
    <w:lsdException w:name="Table Simple 3" w:semiHidden="0" w:unhideWhenUsed="0"/>
    <w:lsdException w:name="Table Subtle 1" w:semiHidden="0" w:unhideWhenUsed="0"/>
    <w:lsdException w:name="Table Subtle 2" w:semiHidden="0" w:unhideWhenUsed="0"/>
    <w:lsdException w:name="Table Theme" w:semiHidden="0" w:unhideWhenUsed="0"/>
    <w:lsdException w:name="Table Web 1" w:semiHidden="0" w:unhideWhenUsed="0"/>
    <w:lsdException w:name="Table Web 2" w:semiHidden="0" w:unhideWhenUsed="0"/>
    <w:lsdException w:name="Table Web 3" w:semiHidden="0" w:unhideWhenUsed="0"/>
    <w:lsdException w:name="Title" w:semiHidden="0" w:unhideWhenUsed="0"/>
    <w:lsdException w:name="annotation reference" w:semiHidden="0" w:unhideWhenUsed="0"/>
    <w:lsdException w:name="annotation subject" w:semiHidden="0" w:unhideWhenUsed="0"/>
    <w:lsdException w:name="annotation text" w:semiHidden="0" w:unhideWhenUsed="0"/>
    <w:lsdException w:name="caption"/>
    <w:lsdException w:name="endnote reference" w:semiHidden="0" w:unhideWhenUsed="0"/>
    <w:lsdException w:name="endnote text" w:semiHidden="0" w:unhideWhenUsed="0"/>
    <w:lsdException w:name="envelope address" w:semiHidden="0" w:unhideWhenUsed="0"/>
    <w:lsdException w:name="envelope return" w:semiHidden="0" w:unhideWhenUsed="0"/>
    <w:lsdException w:name="footer" w:semiHidden="0" w:unhideWhenUsed="0"/>
    <w:lsdException w:name="footnote reference" w:semiHidden="0" w:unhideWhenUsed="0"/>
    <w:lsdException w:name="footnote text" w:semiHidden="0" w:unhideWhenUsed="0"/>
    <w:lsdException w:name="header" w:semiHidden="0" w:unhideWhenUsed="0"/>
    <w:lsdException w:name="heading 1" w:semiHidden="0" w:unhideWhenUsed="0"/>
    <w:lsdException w:name="heading 2"/>
    <w:lsdException w:name="heading 3"/>
    <w:lsdException w:name="heading 4"/>
    <w:lsdException w:name="heading 5"/>
    <w:lsdException w:name="heading 6"/>
    <w:lsdException w:name="heading 7"/>
    <w:lsdException w:name="heading 8"/>
    <w:lsdException w:name="heading 9"/>
    <w:lsdException w:name="index 1" w:semiHidden="0" w:unhideWhenUsed="0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index 7" w:semiHidden="0" w:unhideWhenUsed="0"/>
    <w:lsdException w:name="index 8" w:semiHidden="0" w:unhideWhenUsed="0"/>
    <w:lsdException w:name="index 9" w:semiHidden="0" w:unhideWhenUsed="0"/>
    <w:lsdException w:name="index heading" w:semiHidden="0" w:unhideWhenUsed="0"/>
    <w:lsdException w:name="line number" w:semiHidden="0" w:unhideWhenUsed="0"/>
    <w:lsdException w:name="macro" w:semiHidden="0" w:unhideWhenUsed="0"/>
    <w:lsdException w:name="page number" w:semiHidden="0" w:unhideWhenUsed="0"/>
    <w:lsdException w:name="table of authorities" w:semiHidden="0" w:unhideWhenUsed="0"/>
    <w:lsdException w:name="table of figures" w:semiHidden="0" w:unhideWhenUsed="0"/>
    <w:lsdException w:name="toa heading" w:semiHidden="0" w:unhideWhenUsed="0"/>
    <w:lsdException w:name="toc 1" w:semiHidden="0" w:unhideWhenUsed="0"/>
    <w:lsdException w:name="toc 2" w:semiHidden="0" w:unhideWhenUsed="0"/>
    <w:lsdException w:name="toc 3" w:semiHidden="0" w:unhideWhenUsed="0"/>
    <w:lsdException w:name="toc 4" w:semiHidden="0" w:unhideWhenUsed="0"/>
    <w:lsdException w:name="toc 5" w:semiHidden="0" w:unhideWhenUsed="0"/>
    <w:lsdException w:name="toc 6" w:semiHidden="0" w:unhideWhenUsed="0"/>
    <w:lsdException w:name="toc 7" w:semiHidden="0" w:unhideWhenUsed="0"/>
    <w:lsdException w:name="toc 8" w:semiHidden="0" w:unhideWhenUsed="0"/>
    <w:lsdException w:name="toc 9" w:semiHidden="0" w:unhideWhenUsed="0"/>
  </w:latentStyles>
  <w:style w:type="paragraph" w:styleId="1" w:default="1">
    <w:name w:val="Normal"/>
    <w:uiPriority w:val="0"/>
    <w:qFormat/>
    <w:pPr>
      <w:widowControl w:val="0"/>
      <w:jc w:val="both"/>
    </w:pPr>
    <w:rPr>
      <w:sz w:val="21"/>
      <w:lang w:val="en-US" w:eastAsia="zh-CN" w:bidi="ar-SA"/>
      <w:kern w:val="2"/>
      <w:szCs w:val="24"/>
      <w:rFonts w:asciiTheme="minorHAnsi" w:hAnsiTheme="minorHAnsi" w:eastAsiaTheme="minorEastAsia" w:cstheme="minorBidi"/>
    </w:rPr>
  </w:style>
  <w:style w:type="character" w:styleId="4" w:default="1">
    <w:name w:val="Default Paragraph Font"/>
    <w:uiPriority w:val="0"/>
    <w:semiHidden/>
    <w:qFormat/>
  </w:style>
  <w:style w:type="table" w:styleId="2" w:default="1">
    <w:name w:val="Normal Table"/>
    <w:uiPriority w:val="0"/>
    <w:semiHidden/>
    <w:tblPr>
      <w:tblCellMar>
        <w:top w:type="dxa" w:w="0.000000"/>
        <w:bottom w:type="dxa" w:w="0.000000"/>
        <w:left w:type="dxa" w:w="108.000000"/>
        <w:right w:type="dxa" w:w="108.000000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theme" Target="theme/theme1.xml" /><Relationship Id="rId2" Type="http://schemas.openxmlformats.org/officeDocument/2006/relationships/fontTable" Target="fontTable.xml" /><Relationship Id="rId1" Type="http://schemas.openxmlformats.org/officeDocument/2006/relationships/settings" Target="settings.xml" /><Relationship Id="rId0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 panose=""/>
        <a:ea typeface=""/>
        <a:cs typeface=""/>
        <a:font script="Hant" typeface="新細明體"/>
        <a:font script="Arab" typeface="Times New Roman"/>
        <a:font script="Knda" typeface="Tunga"/>
        <a:font script="Taml" typeface="Latha"/>
        <a:font script="Ethi" typeface="Nyala"/>
        <a:font script="Hans" typeface="宋体"/>
        <a:font script="Guru" typeface="Raavi"/>
        <a:font script="Yiii" typeface="Microsoft Yi Baiti"/>
        <a:font script="Thaa" typeface="MV Boli"/>
        <a:font script="Jpan" typeface="ＭＳ ゴシック"/>
        <a:font script="Beng" typeface="Vrinda"/>
        <a:font script="Uigh" typeface="Microsoft Uighur"/>
        <a:font script="Thai" typeface="Angsana New"/>
        <a:font script="Gujr" typeface="Shruti"/>
        <a:font script="Syrc" typeface="Estrangelo Edessa"/>
        <a:font script="Khmr" typeface="MoolBoran"/>
        <a:font script="Cans" typeface="Euphemia"/>
        <a:font script="Orya" typeface="Kalinga"/>
        <a:font script="Deva" typeface="Mangal"/>
        <a:font script="Hang" typeface="맑은 고딕"/>
        <a:font script="Mong" typeface="Mongolian Baiti"/>
        <a:font script="Mlym" typeface="Kartika"/>
        <a:font script="Telu" typeface="Gautami"/>
        <a:font script="Cher" typeface="Plantagenet Cherokee"/>
        <a:font script="Hebr" typeface="Times New Roman"/>
        <a:font script="Sinh" typeface="Iskoola Pota"/>
        <a:font script="Geor" typeface="Sylfaen"/>
        <a:font script="Laoo" typeface="DokChampa"/>
        <a:font script="Tibt" typeface="Microsoft Himalaya"/>
        <a:font script="Viet" typeface="Times New Roman"/>
      </a:majorFont>
      <a:minorFont>
        <a:latin typeface="Calibri" panose=""/>
        <a:ea typeface=""/>
        <a:cs typeface=""/>
        <a:font script="Hant" typeface="新細明體"/>
        <a:font script="Arab" typeface="Arial"/>
        <a:font script="Knda" typeface="Tunga"/>
        <a:font script="Taml" typeface="Latha"/>
        <a:font script="Ethi" typeface="Nyala"/>
        <a:font script="Hans" typeface="宋体"/>
        <a:font script="Guru" typeface="Raavi"/>
        <a:font script="Yiii" typeface="Microsoft Yi Baiti"/>
        <a:font script="Thaa" typeface="MV Boli"/>
        <a:font script="Jpan" typeface="ＭＳ 明朝"/>
        <a:font script="Beng" typeface="Vrinda"/>
        <a:font script="Uigh" typeface="Microsoft Uighur"/>
        <a:font script="Thai" typeface="Cordia New"/>
        <a:font script="Gujr" typeface="Shruti"/>
        <a:font script="Syrc" typeface="Estrangelo Edessa"/>
        <a:font script="Khmr" typeface="DaunPenh"/>
        <a:font script="Cans" typeface="Euphemia"/>
        <a:font script="Orya" typeface="Kalinga"/>
        <a:font script="Deva" typeface="Mangal"/>
        <a:font script="Hang" typeface="맑은 고딕"/>
        <a:font script="Mong" typeface="Mongolian Baiti"/>
        <a:font script="Mlym" typeface="Kartika"/>
        <a:font script="Telu" typeface="Gautami"/>
        <a:font script="Cher" typeface="Plantagenet Cherokee"/>
        <a:font script="Hebr" typeface="Arial"/>
        <a:font script="Sinh" typeface="Iskoola Pota"/>
        <a:font script="Geor" typeface="Sylfaen"/>
        <a:font script="Laoo" typeface="DokChampa"/>
        <a:font script="Tibt" typeface="Microsoft Himalaya"/>
        <a:font script="Viet" typeface="Arial"/>
      </a:minorFont>
    </a:fontScheme>
    <a:fmtScheme name="WPS">
      <a:fillStyleLst>
        <a:solidFill>
          <a:schemeClr val="phClr"/>
        </a:solidFill>
        <a:gradFill rotWithShape="0"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 rotWithShape="0"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a:dist="25400" a:dir="5400000" a:sy="-100000" a:endA="300" a:endPos="40000" a:stA="50000" a:algn="bl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929</Words>
  <Characters>967</Characters>
  <Application>WPS Office_12.1.0.20305_F1E327BC-269C-435d-A152-05C5408002CA</Application>
  <DocSecurity>0</DocSecurity>
  <Lines>0</Lines>
  <Paragraphs>0</Paragraphs>
  <ScaleCrop>false</ScaleCrop>
  <Company/>
  <LinksUpToDate>false</LinksUpToDate>
  <CharactersWithSpaces>967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dcmitype="http://purl.org/dc/dcmitype/" xmlns:xsi="http://www.w3.org/2001/XMLSchema-instance">
  <dc:title/>
  <dc:subject/>
  <dc:creator>Administrator</dc:creator>
  <cp:keywords/>
  <dc:description/>
  <cp:lastModifiedBy>半生缘</cp:lastModifiedBy>
  <cp:revision>1</cp:revision>
  <dcterms:created xsi:type="dcterms:W3CDTF">2025-02-25T01:58:00Z</dcterms:created>
  <dcterms:modified xsi:type="dcterms:W3CDTF">2025-02-25T03:22:54Z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90CAE31B9B294A7B98DBF83C52BCEE40_11</vt:lpwstr>
  </property>
  <property fmtid="{D5CDD505-2E9C-101B-9397-08002B2CF9AE}" pid="4" name="KSOTemplateDocerSaveRecord">
    <vt:lpwstr>eyJoZGlkIjoiMTU2ZWY2ZjNmYTY4NzkyMmNjMThkODg0MmJiOWM0NmMiLCJ1c2VySWQiOiI3MzMyNzM3NzMifQ==</vt:lpwstr>
  </property>
</Properties>
</file>

<file path=tbak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A93C5D"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>涉企行政检查公示表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"/>
        <w:gridCol w:w="1225"/>
        <w:gridCol w:w="1210"/>
        <w:gridCol w:w="6860"/>
        <w:gridCol w:w="1410"/>
        <w:gridCol w:w="2190"/>
      </w:tblGrid>
      <w:tr w14:paraId="40689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855" w:type="dxa"/>
            <w:vAlign w:val="center"/>
          </w:tcPr>
          <w:p w14:paraId="7B3B8450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序号</w:t>
            </w:r>
          </w:p>
        </w:tc>
        <w:tc>
          <w:tcPr>
            <w:tcW w:w="1225" w:type="dxa"/>
            <w:vAlign w:val="center"/>
          </w:tcPr>
          <w:p w14:paraId="6A52405B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单位名称</w:t>
            </w:r>
          </w:p>
        </w:tc>
        <w:tc>
          <w:tcPr>
            <w:tcW w:w="1210" w:type="dxa"/>
            <w:vAlign w:val="center"/>
          </w:tcPr>
          <w:p w14:paraId="10E9A609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行政检</w:t>
            </w:r>
          </w:p>
          <w:p w14:paraId="75078CFE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查主体</w:t>
            </w:r>
          </w:p>
        </w:tc>
        <w:tc>
          <w:tcPr>
            <w:tcW w:w="6860" w:type="dxa"/>
            <w:vAlign w:val="center"/>
          </w:tcPr>
          <w:p w14:paraId="3D1562D2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行政检查事项和依据</w:t>
            </w:r>
          </w:p>
        </w:tc>
        <w:tc>
          <w:tcPr>
            <w:tcW w:w="1410" w:type="dxa"/>
            <w:vAlign w:val="center"/>
          </w:tcPr>
          <w:p w14:paraId="1D411546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行政检查频次上限</w:t>
            </w:r>
          </w:p>
        </w:tc>
        <w:tc>
          <w:tcPr>
            <w:tcW w:w="2190" w:type="dxa"/>
            <w:vAlign w:val="center"/>
          </w:tcPr>
          <w:p w14:paraId="10CEF435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专项检查计划</w:t>
            </w:r>
          </w:p>
        </w:tc>
      </w:tr>
      <w:tr w14:paraId="53600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" w:type="dxa"/>
            <w:vAlign w:val="center"/>
          </w:tcPr>
          <w:p w14:paraId="0761F9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  <w:lang w:val="en-US" w:eastAsia="zh-CN"/>
              </w:rPr>
              <w:t>1</w:t>
            </w:r>
          </w:p>
        </w:tc>
        <w:tc>
          <w:tcPr>
            <w:tcW w:w="1225" w:type="dxa"/>
            <w:vAlign w:val="center"/>
          </w:tcPr>
          <w:p w14:paraId="6E0BC9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  <w:lang w:eastAsia="zh-CN"/>
              </w:rPr>
              <w:t>天门市农业农村局</w:t>
            </w:r>
          </w:p>
        </w:tc>
        <w:tc>
          <w:tcPr>
            <w:tcW w:w="1210" w:type="dxa"/>
            <w:vAlign w:val="center"/>
          </w:tcPr>
          <w:p w14:paraId="32F70C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  <w:lang w:eastAsia="zh-CN"/>
              </w:rPr>
              <w:t>畜禽屠宰企业</w:t>
            </w:r>
          </w:p>
        </w:tc>
        <w:tc>
          <w:tcPr>
            <w:tcW w:w="6860" w:type="dxa"/>
            <w:vAlign w:val="center"/>
          </w:tcPr>
          <w:p w14:paraId="5B9F41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auto"/>
                <w:sz w:val="20"/>
                <w:szCs w:val="20"/>
                <w:lang w:eastAsia="zh-CN"/>
              </w:rPr>
              <w:t>事项：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>1.工商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eastAsia="zh-CN"/>
              </w:rPr>
              <w:t>营业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>执照、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eastAsia="zh-CN"/>
              </w:rPr>
              <w:t>动物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>防疫合格证、畜禽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eastAsia="zh-CN"/>
              </w:rPr>
              <w:t>屠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>宰许可是否在有效期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eastAsia="zh-CN"/>
              </w:rPr>
              <w:t>内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>;2.卫生条件生产布局是否合理;3.屠宰操作规程是否规范;4.消毒及无害化处理是否符合规定;5.生产记录及档案管理是否合格;6.肉品品质检验是否合格。</w:t>
            </w:r>
          </w:p>
          <w:p w14:paraId="5A7D1E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0"/>
                <w:szCs w:val="20"/>
                <w:lang w:eastAsia="zh-CN"/>
              </w:rPr>
              <w:t>依据：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>《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val="en-US" w:eastAsia="zh-CN"/>
              </w:rPr>
              <w:t>中华人民共和国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>动物防疫法》、《生猪屠宰管理条例》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eastAsia="zh-CN"/>
              </w:rPr>
              <w:t>。</w:t>
            </w:r>
          </w:p>
        </w:tc>
        <w:tc>
          <w:tcPr>
            <w:tcW w:w="1410" w:type="dxa"/>
            <w:vAlign w:val="center"/>
          </w:tcPr>
          <w:p w14:paraId="163906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  <w:lang w:eastAsia="zh-CN"/>
              </w:rPr>
              <w:t>待上级部门统一规定</w:t>
            </w:r>
          </w:p>
        </w:tc>
        <w:tc>
          <w:tcPr>
            <w:tcW w:w="2190" w:type="dxa"/>
            <w:vAlign w:val="center"/>
          </w:tcPr>
          <w:p w14:paraId="775227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  <w:lang w:eastAsia="zh-CN"/>
              </w:rPr>
              <w:t>每季度例行检查，重大节假日检查</w:t>
            </w:r>
          </w:p>
        </w:tc>
      </w:tr>
      <w:tr w14:paraId="6D2BF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" w:type="dxa"/>
            <w:vAlign w:val="center"/>
          </w:tcPr>
          <w:p w14:paraId="10566A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  <w:lang w:val="en-US" w:eastAsia="zh-CN"/>
              </w:rPr>
              <w:t>2</w:t>
            </w:r>
          </w:p>
        </w:tc>
        <w:tc>
          <w:tcPr>
            <w:tcW w:w="1225" w:type="dxa"/>
            <w:vAlign w:val="center"/>
          </w:tcPr>
          <w:p w14:paraId="568D8B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  <w:lang w:eastAsia="zh-CN"/>
              </w:rPr>
              <w:t>天门市农业农村局</w:t>
            </w:r>
          </w:p>
        </w:tc>
        <w:tc>
          <w:tcPr>
            <w:tcW w:w="1210" w:type="dxa"/>
            <w:vAlign w:val="center"/>
          </w:tcPr>
          <w:p w14:paraId="7B5D29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  <w:lang w:eastAsia="zh-CN"/>
              </w:rPr>
              <w:t>动物诊疗机构</w:t>
            </w:r>
          </w:p>
        </w:tc>
        <w:tc>
          <w:tcPr>
            <w:tcW w:w="6860" w:type="dxa"/>
            <w:shd w:val="clear" w:color="auto" w:fill="auto"/>
            <w:vAlign w:val="center"/>
          </w:tcPr>
          <w:p w14:paraId="13ED9D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auto"/>
                <w:sz w:val="20"/>
                <w:szCs w:val="20"/>
                <w:lang w:eastAsia="zh-CN"/>
              </w:rPr>
              <w:t>事项：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>1.资质是否齐全;2.选址、布局情况是否合理;3.设施设备是否齐全;4.无害化处理情况是否符合要求;5.从业人员健康情况是否合格;6.病例、处方是否规范;7.卫生条件是否合格。</w:t>
            </w:r>
          </w:p>
          <w:p w14:paraId="13D314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0"/>
                <w:szCs w:val="20"/>
                <w:lang w:eastAsia="zh-CN"/>
              </w:rPr>
              <w:t>依据：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>《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val="en-US" w:eastAsia="zh-CN"/>
              </w:rPr>
              <w:t>中华人民共和国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>动物防疫法》、《动物诊疗机构管理办法》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eastAsia="zh-CN"/>
              </w:rPr>
              <w:t>。</w:t>
            </w:r>
          </w:p>
        </w:tc>
        <w:tc>
          <w:tcPr>
            <w:tcW w:w="1410" w:type="dxa"/>
            <w:vAlign w:val="center"/>
          </w:tcPr>
          <w:p w14:paraId="69481D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  <w:lang w:eastAsia="zh-CN"/>
              </w:rPr>
              <w:t>待上级部门统一规定</w:t>
            </w:r>
          </w:p>
        </w:tc>
        <w:tc>
          <w:tcPr>
            <w:tcW w:w="2190" w:type="dxa"/>
            <w:vAlign w:val="center"/>
          </w:tcPr>
          <w:p w14:paraId="1B40F2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  <w:lang w:eastAsia="zh-CN"/>
              </w:rPr>
              <w:t>每季度例行检查</w:t>
            </w:r>
          </w:p>
        </w:tc>
      </w:tr>
      <w:tr w14:paraId="0A783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" w:type="dxa"/>
            <w:vAlign w:val="center"/>
          </w:tcPr>
          <w:p w14:paraId="13B958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  <w:lang w:val="en-US" w:eastAsia="zh-CN"/>
              </w:rPr>
              <w:t>3</w:t>
            </w:r>
          </w:p>
        </w:tc>
        <w:tc>
          <w:tcPr>
            <w:tcW w:w="1225" w:type="dxa"/>
            <w:vAlign w:val="center"/>
          </w:tcPr>
          <w:p w14:paraId="6D8D36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  <w:lang w:eastAsia="zh-CN"/>
              </w:rPr>
              <w:t>天门市农业农村局</w:t>
            </w:r>
          </w:p>
        </w:tc>
        <w:tc>
          <w:tcPr>
            <w:tcW w:w="1210" w:type="dxa"/>
            <w:vAlign w:val="center"/>
          </w:tcPr>
          <w:p w14:paraId="048B68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  <w:lang w:eastAsia="zh-CN"/>
              </w:rPr>
              <w:t>无害化处理场</w:t>
            </w:r>
          </w:p>
        </w:tc>
        <w:tc>
          <w:tcPr>
            <w:tcW w:w="6860" w:type="dxa"/>
            <w:shd w:val="clear" w:color="auto" w:fill="auto"/>
            <w:vAlign w:val="center"/>
          </w:tcPr>
          <w:p w14:paraId="56E618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0"/>
                <w:szCs w:val="20"/>
                <w:lang w:eastAsia="zh-CN"/>
              </w:rPr>
              <w:t>事项：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>1.生产经营资质是否合格;2.卫生条件是否合格、生产布局是否合理;3.操作规程是否规范;4.消毒情况是否合理;5.生产记录等档案管理是否合格;6.管理制度是否规范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eastAsia="zh-CN"/>
              </w:rPr>
              <w:t>。</w:t>
            </w:r>
          </w:p>
          <w:p w14:paraId="33BBFE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0"/>
                <w:szCs w:val="20"/>
                <w:lang w:eastAsia="zh-CN"/>
              </w:rPr>
              <w:t>依据：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>《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val="en-US" w:eastAsia="zh-CN"/>
              </w:rPr>
              <w:t>中华人民共和国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>动物防疫法》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eastAsia="zh-CN"/>
              </w:rPr>
              <w:t>。</w:t>
            </w:r>
          </w:p>
        </w:tc>
        <w:tc>
          <w:tcPr>
            <w:tcW w:w="1410" w:type="dxa"/>
            <w:vAlign w:val="center"/>
          </w:tcPr>
          <w:p w14:paraId="75C866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  <w:lang w:eastAsia="zh-CN"/>
              </w:rPr>
              <w:t>待上级部门统一规定</w:t>
            </w:r>
          </w:p>
        </w:tc>
        <w:tc>
          <w:tcPr>
            <w:tcW w:w="2190" w:type="dxa"/>
            <w:vAlign w:val="center"/>
          </w:tcPr>
          <w:p w14:paraId="15FF43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  <w:lang w:eastAsia="zh-CN"/>
              </w:rPr>
              <w:t>每季度例行检查</w:t>
            </w:r>
          </w:p>
        </w:tc>
      </w:tr>
      <w:tr w14:paraId="0BC708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" w:type="dxa"/>
            <w:vAlign w:val="center"/>
          </w:tcPr>
          <w:p w14:paraId="5DB9C1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  <w:lang w:val="en-US" w:eastAsia="zh-CN"/>
              </w:rPr>
              <w:t>4</w:t>
            </w:r>
          </w:p>
        </w:tc>
        <w:tc>
          <w:tcPr>
            <w:tcW w:w="1225" w:type="dxa"/>
            <w:vAlign w:val="center"/>
          </w:tcPr>
          <w:p w14:paraId="17165E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  <w:lang w:eastAsia="zh-CN"/>
              </w:rPr>
              <w:t>天门市农业农村局</w:t>
            </w:r>
          </w:p>
        </w:tc>
        <w:tc>
          <w:tcPr>
            <w:tcW w:w="1210" w:type="dxa"/>
            <w:vAlign w:val="center"/>
          </w:tcPr>
          <w:p w14:paraId="4B41AF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  <w:lang w:eastAsia="zh-CN"/>
              </w:rPr>
              <w:t>饲料生产经营企业</w:t>
            </w:r>
          </w:p>
        </w:tc>
        <w:tc>
          <w:tcPr>
            <w:tcW w:w="6860" w:type="dxa"/>
            <w:shd w:val="clear" w:color="auto" w:fill="auto"/>
            <w:vAlign w:val="center"/>
          </w:tcPr>
          <w:p w14:paraId="46C900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0"/>
                <w:szCs w:val="20"/>
                <w:lang w:eastAsia="zh-CN"/>
              </w:rPr>
              <w:t>事项：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>饲料生产经营管理法律法规执行情况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eastAsia="zh-CN"/>
              </w:rPr>
              <w:t>。</w:t>
            </w:r>
          </w:p>
          <w:p w14:paraId="0D231C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0"/>
                <w:szCs w:val="20"/>
                <w:lang w:eastAsia="zh-CN"/>
              </w:rPr>
              <w:t>依据：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>《饲料和饲料添加剂管理条例》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eastAsia="zh-CN"/>
              </w:rPr>
              <w:t>。</w:t>
            </w:r>
          </w:p>
        </w:tc>
        <w:tc>
          <w:tcPr>
            <w:tcW w:w="1410" w:type="dxa"/>
            <w:vAlign w:val="center"/>
          </w:tcPr>
          <w:p w14:paraId="07663B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  <w:lang w:eastAsia="zh-CN"/>
              </w:rPr>
              <w:t>待上级部门统一规定</w:t>
            </w:r>
          </w:p>
        </w:tc>
        <w:tc>
          <w:tcPr>
            <w:tcW w:w="2190" w:type="dxa"/>
            <w:vAlign w:val="center"/>
          </w:tcPr>
          <w:p w14:paraId="47E69C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  <w:lang w:eastAsia="zh-CN"/>
              </w:rPr>
              <w:t>每季度例行检查</w:t>
            </w:r>
          </w:p>
        </w:tc>
      </w:tr>
      <w:tr w14:paraId="327EA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" w:type="dxa"/>
            <w:vAlign w:val="center"/>
          </w:tcPr>
          <w:p w14:paraId="316BC6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  <w:lang w:val="en-US" w:eastAsia="zh-CN"/>
              </w:rPr>
              <w:t>5</w:t>
            </w:r>
          </w:p>
        </w:tc>
        <w:tc>
          <w:tcPr>
            <w:tcW w:w="1225" w:type="dxa"/>
            <w:vAlign w:val="center"/>
          </w:tcPr>
          <w:p w14:paraId="275BED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  <w:lang w:eastAsia="zh-CN"/>
              </w:rPr>
              <w:t>天门市农业农村局</w:t>
            </w:r>
          </w:p>
        </w:tc>
        <w:tc>
          <w:tcPr>
            <w:tcW w:w="1210" w:type="dxa"/>
            <w:vAlign w:val="center"/>
          </w:tcPr>
          <w:p w14:paraId="06EC03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  <w:lang w:eastAsia="zh-CN"/>
              </w:rPr>
              <w:t>兽药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  <w:lang w:val="en-US" w:eastAsia="zh-CN"/>
              </w:rPr>
              <w:t>生产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  <w:lang w:eastAsia="zh-CN"/>
              </w:rPr>
              <w:t>经营企业</w:t>
            </w:r>
          </w:p>
        </w:tc>
        <w:tc>
          <w:tcPr>
            <w:tcW w:w="6860" w:type="dxa"/>
            <w:shd w:val="clear" w:color="auto" w:fill="auto"/>
            <w:vAlign w:val="center"/>
          </w:tcPr>
          <w:p w14:paraId="27DE78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0"/>
                <w:szCs w:val="20"/>
                <w:lang w:eastAsia="zh-CN"/>
              </w:rPr>
              <w:t>事项：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>兽药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val="en-US" w:eastAsia="zh-CN"/>
              </w:rPr>
              <w:t>生产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>经营管理法律法规执行情况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eastAsia="zh-CN"/>
              </w:rPr>
              <w:t>。</w:t>
            </w:r>
          </w:p>
          <w:p w14:paraId="3BCB3F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0"/>
                <w:szCs w:val="20"/>
                <w:lang w:eastAsia="zh-CN"/>
              </w:rPr>
              <w:t>依据：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>《兽药管理条例》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eastAsia="zh-CN"/>
              </w:rPr>
              <w:t>。</w:t>
            </w:r>
          </w:p>
        </w:tc>
        <w:tc>
          <w:tcPr>
            <w:tcW w:w="1410" w:type="dxa"/>
            <w:vAlign w:val="center"/>
          </w:tcPr>
          <w:p w14:paraId="13E109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  <w:lang w:eastAsia="zh-CN"/>
              </w:rPr>
              <w:t>待上级部门统一规定</w:t>
            </w:r>
          </w:p>
        </w:tc>
        <w:tc>
          <w:tcPr>
            <w:tcW w:w="2190" w:type="dxa"/>
            <w:vAlign w:val="center"/>
          </w:tcPr>
          <w:p w14:paraId="67CD24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  <w:lang w:eastAsia="zh-CN"/>
              </w:rPr>
              <w:t>每季度例行检查</w:t>
            </w:r>
          </w:p>
        </w:tc>
      </w:tr>
      <w:tr w14:paraId="41DD7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" w:type="dxa"/>
            <w:vAlign w:val="center"/>
          </w:tcPr>
          <w:p w14:paraId="21F1FD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  <w:lang w:val="en-US" w:eastAsia="zh-CN"/>
              </w:rPr>
              <w:t>6</w:t>
            </w:r>
          </w:p>
        </w:tc>
        <w:tc>
          <w:tcPr>
            <w:tcW w:w="1225" w:type="dxa"/>
            <w:vAlign w:val="center"/>
          </w:tcPr>
          <w:p w14:paraId="0CB0EA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  <w:lang w:eastAsia="zh-CN"/>
              </w:rPr>
              <w:t>天门市农业农村局</w:t>
            </w:r>
          </w:p>
        </w:tc>
        <w:tc>
          <w:tcPr>
            <w:tcW w:w="1210" w:type="dxa"/>
            <w:vAlign w:val="center"/>
          </w:tcPr>
          <w:p w14:paraId="7F1DBB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  <w:lang w:eastAsia="zh-CN"/>
              </w:rPr>
              <w:t>农药生产经营企业</w:t>
            </w:r>
          </w:p>
        </w:tc>
        <w:tc>
          <w:tcPr>
            <w:tcW w:w="6860" w:type="dxa"/>
            <w:shd w:val="clear" w:color="auto" w:fill="auto"/>
            <w:vAlign w:val="center"/>
          </w:tcPr>
          <w:p w14:paraId="5157F7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仿宋_GB2312" w:hAnsi="仿宋_GB2312" w:eastAsia="黑体" w:cs="仿宋_GB2312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0"/>
                <w:szCs w:val="20"/>
                <w:lang w:eastAsia="zh-CN"/>
              </w:rPr>
              <w:t>事项：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val="en-US" w:eastAsia="zh-CN"/>
              </w:rPr>
              <w:t>农药生产经营管理法律法规执行情况。</w:t>
            </w:r>
          </w:p>
          <w:p w14:paraId="70E804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0"/>
                <w:szCs w:val="20"/>
                <w:lang w:eastAsia="zh-CN"/>
              </w:rPr>
              <w:t>依据：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>《农药管理条例》及其相关规章制度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eastAsia="zh-CN"/>
              </w:rPr>
              <w:t>。</w:t>
            </w:r>
          </w:p>
        </w:tc>
        <w:tc>
          <w:tcPr>
            <w:tcW w:w="1410" w:type="dxa"/>
            <w:vAlign w:val="center"/>
          </w:tcPr>
          <w:p w14:paraId="25F35D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  <w:lang w:eastAsia="zh-CN"/>
              </w:rPr>
              <w:t>待上级部门统一规定</w:t>
            </w:r>
          </w:p>
        </w:tc>
        <w:tc>
          <w:tcPr>
            <w:tcW w:w="2190" w:type="dxa"/>
            <w:vAlign w:val="center"/>
          </w:tcPr>
          <w:p w14:paraId="5D4F49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  <w:lang w:eastAsia="zh-CN"/>
              </w:rPr>
              <w:t>每季度例行检查</w:t>
            </w:r>
          </w:p>
        </w:tc>
      </w:tr>
      <w:tr w14:paraId="675BA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" w:type="dxa"/>
            <w:vAlign w:val="center"/>
          </w:tcPr>
          <w:p w14:paraId="0EE46B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  <w:lang w:val="en-US" w:eastAsia="zh-CN"/>
              </w:rPr>
              <w:t>7</w:t>
            </w:r>
          </w:p>
        </w:tc>
        <w:tc>
          <w:tcPr>
            <w:tcW w:w="1225" w:type="dxa"/>
            <w:vAlign w:val="center"/>
          </w:tcPr>
          <w:p w14:paraId="58745C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  <w:lang w:eastAsia="zh-CN"/>
              </w:rPr>
              <w:t>天门市农业农村局</w:t>
            </w:r>
          </w:p>
        </w:tc>
        <w:tc>
          <w:tcPr>
            <w:tcW w:w="1210" w:type="dxa"/>
            <w:vAlign w:val="center"/>
          </w:tcPr>
          <w:p w14:paraId="6B638F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  <w:lang w:eastAsia="zh-CN"/>
              </w:rPr>
              <w:t>肥料生产经营企业</w:t>
            </w:r>
          </w:p>
        </w:tc>
        <w:tc>
          <w:tcPr>
            <w:tcW w:w="6860" w:type="dxa"/>
            <w:shd w:val="clear" w:color="auto" w:fill="auto"/>
            <w:vAlign w:val="center"/>
          </w:tcPr>
          <w:p w14:paraId="4E2BEA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0"/>
                <w:szCs w:val="20"/>
                <w:lang w:eastAsia="zh-CN"/>
              </w:rPr>
              <w:t>事项：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val="en-US" w:eastAsia="zh-CN"/>
              </w:rPr>
              <w:t>肥料生产经营管理法律法规执行情况。</w:t>
            </w:r>
          </w:p>
          <w:p w14:paraId="7D6FA5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0"/>
                <w:szCs w:val="20"/>
                <w:lang w:eastAsia="zh-CN"/>
              </w:rPr>
              <w:t>依据：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>《肥料登记管理办法》及其相关规章制度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eastAsia="zh-CN"/>
              </w:rPr>
              <w:t>。</w:t>
            </w:r>
          </w:p>
        </w:tc>
        <w:tc>
          <w:tcPr>
            <w:tcW w:w="1410" w:type="dxa"/>
            <w:vAlign w:val="center"/>
          </w:tcPr>
          <w:p w14:paraId="5EAAB1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  <w:lang w:eastAsia="zh-CN"/>
              </w:rPr>
              <w:t>待上级部门统一规定</w:t>
            </w:r>
          </w:p>
        </w:tc>
        <w:tc>
          <w:tcPr>
            <w:tcW w:w="2190" w:type="dxa"/>
            <w:vAlign w:val="center"/>
          </w:tcPr>
          <w:p w14:paraId="62DF17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  <w:lang w:eastAsia="zh-CN"/>
              </w:rPr>
              <w:t>每季度例行检查</w:t>
            </w:r>
          </w:p>
        </w:tc>
      </w:tr>
      <w:tr w14:paraId="4197A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" w:type="dxa"/>
            <w:vAlign w:val="center"/>
          </w:tcPr>
          <w:p w14:paraId="57C50B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  <w:lang w:val="en-US" w:eastAsia="zh-CN"/>
              </w:rPr>
              <w:t>8</w:t>
            </w:r>
          </w:p>
        </w:tc>
        <w:tc>
          <w:tcPr>
            <w:tcW w:w="1225" w:type="dxa"/>
            <w:vAlign w:val="center"/>
          </w:tcPr>
          <w:p w14:paraId="68F541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  <w:lang w:eastAsia="zh-CN"/>
              </w:rPr>
              <w:t>天门市农业农村局</w:t>
            </w:r>
          </w:p>
        </w:tc>
        <w:tc>
          <w:tcPr>
            <w:tcW w:w="1210" w:type="dxa"/>
            <w:vAlign w:val="center"/>
          </w:tcPr>
          <w:p w14:paraId="32914D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  <w:lang w:val="en-US" w:eastAsia="zh-CN"/>
              </w:rPr>
              <w:t>种子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  <w:lang w:eastAsia="zh-CN"/>
              </w:rPr>
              <w:t>经营企业</w:t>
            </w:r>
          </w:p>
        </w:tc>
        <w:tc>
          <w:tcPr>
            <w:tcW w:w="6860" w:type="dxa"/>
            <w:shd w:val="clear" w:color="auto" w:fill="auto"/>
            <w:vAlign w:val="center"/>
          </w:tcPr>
          <w:p w14:paraId="73915B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0"/>
                <w:szCs w:val="20"/>
                <w:lang w:eastAsia="zh-CN"/>
              </w:rPr>
              <w:t>事项：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val="en-US" w:eastAsia="zh-CN"/>
              </w:rPr>
              <w:t>种子经营管理法律法规执行情况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eastAsia="zh-CN"/>
              </w:rPr>
              <w:t>。</w:t>
            </w:r>
          </w:p>
          <w:p w14:paraId="37564B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0"/>
                <w:szCs w:val="20"/>
                <w:lang w:eastAsia="zh-CN"/>
              </w:rPr>
              <w:t>依据：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>《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val="en-US" w:eastAsia="zh-CN"/>
              </w:rPr>
              <w:t>中华人民共和国种子法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>》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eastAsia="zh-CN"/>
              </w:rPr>
              <w:t>。</w:t>
            </w:r>
          </w:p>
        </w:tc>
        <w:tc>
          <w:tcPr>
            <w:tcW w:w="1410" w:type="dxa"/>
            <w:vAlign w:val="center"/>
          </w:tcPr>
          <w:p w14:paraId="4ADFB8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  <w:lang w:eastAsia="zh-CN"/>
              </w:rPr>
              <w:t>待上级部门统一规定</w:t>
            </w:r>
          </w:p>
        </w:tc>
        <w:tc>
          <w:tcPr>
            <w:tcW w:w="2190" w:type="dxa"/>
            <w:vAlign w:val="center"/>
          </w:tcPr>
          <w:p w14:paraId="39AC49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0"/>
                <w:szCs w:val="20"/>
                <w:vertAlign w:val="baseline"/>
                <w:lang w:val="en-US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  <w:lang w:val="en-US" w:eastAsia="zh-CN"/>
              </w:rPr>
              <w:t>春秋两季检查</w:t>
            </w:r>
          </w:p>
        </w:tc>
      </w:tr>
      <w:tr w14:paraId="60A5F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" w:type="dxa"/>
            <w:vAlign w:val="center"/>
          </w:tcPr>
          <w:p w14:paraId="3EA7CA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  <w:lang w:val="en-US" w:eastAsia="zh-CN"/>
              </w:rPr>
              <w:t>9</w:t>
            </w:r>
          </w:p>
        </w:tc>
        <w:tc>
          <w:tcPr>
            <w:tcW w:w="1225" w:type="dxa"/>
            <w:vAlign w:val="center"/>
          </w:tcPr>
          <w:p w14:paraId="588AA9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  <w:lang w:eastAsia="zh-CN"/>
              </w:rPr>
              <w:t>天门市农业农村局</w:t>
            </w:r>
          </w:p>
        </w:tc>
        <w:tc>
          <w:tcPr>
            <w:tcW w:w="1210" w:type="dxa"/>
            <w:vAlign w:val="center"/>
          </w:tcPr>
          <w:p w14:paraId="451ABC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>农产品种植业专业合作社</w:t>
            </w:r>
          </w:p>
        </w:tc>
        <w:tc>
          <w:tcPr>
            <w:tcW w:w="6860" w:type="dxa"/>
            <w:shd w:val="clear" w:color="auto" w:fill="auto"/>
            <w:vAlign w:val="center"/>
          </w:tcPr>
          <w:p w14:paraId="3AC449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0"/>
                <w:szCs w:val="20"/>
                <w:lang w:eastAsia="zh-CN"/>
              </w:rPr>
              <w:t>事项：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>农产品种植业专业合作社的农产品生产记录情况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eastAsia="zh-CN"/>
              </w:rPr>
              <w:t>。</w:t>
            </w:r>
          </w:p>
          <w:p w14:paraId="76D44C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0"/>
                <w:szCs w:val="20"/>
                <w:lang w:eastAsia="zh-CN"/>
              </w:rPr>
              <w:t>依据：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>《中华人民共和国农产品质量安全法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eastAsia="zh-CN"/>
              </w:rPr>
              <w:t>》。</w:t>
            </w:r>
          </w:p>
        </w:tc>
        <w:tc>
          <w:tcPr>
            <w:tcW w:w="1410" w:type="dxa"/>
            <w:vAlign w:val="center"/>
          </w:tcPr>
          <w:p w14:paraId="24F0BF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  <w:lang w:eastAsia="zh-CN"/>
              </w:rPr>
              <w:t>待上级部门统一规定</w:t>
            </w:r>
          </w:p>
        </w:tc>
        <w:tc>
          <w:tcPr>
            <w:tcW w:w="2190" w:type="dxa"/>
            <w:vAlign w:val="center"/>
          </w:tcPr>
          <w:p w14:paraId="6B5441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  <w:lang w:eastAsia="zh-CN"/>
              </w:rPr>
              <w:t>每季度例行检查</w:t>
            </w:r>
          </w:p>
        </w:tc>
      </w:tr>
    </w:tbl>
    <w:p w14:paraId="33D070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sz w:val="32"/>
          <w:szCs w:val="32"/>
        </w:rPr>
      </w:pPr>
    </w:p>
    <w:sectPr>
      <w:pgSz w:w="16838" w:h="11906" w:orient="landscape"/>
      <w:pgMar w:top="1587" w:right="1587" w:bottom="1361" w:left="1587" w:header="851" w:footer="992" w:gutter="0"/>
      <w:cols w:space="0" w:num="1"/>
      <w:rtlGutter w:val="0"/>
      <w:docGrid w:type="lines" w:linePitch="312" w:charSpace="0"/>
    </w:sectPr>
  </w:body>
</w:document>
</file>

<file path=tbak/document1.xml><?xml version="1.0" encoding="utf-8"?>
<w:document xmlns:wps="http://schemas.microsoft.com/office/word/2010/wordprocessingShape" xmlns:wne="http://schemas.microsoft.com/office/word/2006/wordml" xmlns:wpg="http://schemas.microsoft.com/office/word/2010/wordprocessingGroup" xmlns:w15="http://schemas.microsoft.com/office/word/2012/wordml" xmlns:wpi="http://schemas.microsoft.com/office/word/2010/wordprocessingInk" xmlns:w10="urn:schemas-microsoft-com:office:word" xmlns:w14="http://schemas.microsoft.com/office/word/2010/wordml" xmlns:wp="http://schemas.openxmlformats.org/drawingml/2006/wordprocessingDrawing" xmlns:wp14="http://schemas.microsoft.com/office/word/2010/wordprocessingDrawing" xmlns:v="urn:schemas-microsoft-com:vml" xmlns:r="http://schemas.openxmlformats.org/officeDocument/2006/relationships" xmlns:m="http://schemas.openxmlformats.org/officeDocument/2006/math" xmlns:wpsCustomData="http://www.wps.cn/officeDocument/2013/wpsCustomData" xmlns:w="http://schemas.openxmlformats.org/wordprocessingml/2006/main" xmlns:o="urn:schemas-microsoft-com:office:office" xmlns:mc="http://schemas.openxmlformats.org/markup-compatibility/2006" xmlns:wpc="http://schemas.microsoft.com/office/word/2010/wordprocessingCanvas" mc:Ignorable="w14 w15 wp14">
  <w:body>
    <w:p w14:paraId="05A93C5D">
      <w:pPr>
        <w:jc w:val="center"/>
        <w:rPr>
          <w:sz w:val="32"/>
          <w:lang w:eastAsia="zh-CN"/>
          <w:szCs w:val="32"/>
          <w:rFonts w:ascii="方正小标宋简体" w:hAnsi="方正小标宋简体" w:eastAsia="方正小标宋简体" w:cs="方正小标宋简体" w:hint="eastAsia"/>
        </w:rPr>
      </w:pPr>
      <w:r>
        <w:rPr>
          <w:sz w:val="32"/>
          <w:lang w:eastAsia="zh-CN"/>
          <w:szCs w:val="32"/>
          <w:rFonts w:ascii="方正小标宋简体" w:hAnsi="方正小标宋简体" w:eastAsia="方正小标宋简体" w:cs="方正小标宋简体" w:hint="eastAsia"/>
        </w:rPr>
        <w:t>涉企行政检查公示表</w:t>
      </w:r>
    </w:p>
    <w:tbl>
      <w:tblPr>
        <w:tblStyle w:val="3"/>
        <w:tblW w:w="0" w:type="auto"/>
        <w:tblInd w:type="dxa" w:w="0.000000"/>
        <w:tblLayout w:type="autofi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type="dxa" w:w="0.000000"/>
          <w:bottom w:type="dxa" w:w="0.000000"/>
          <w:left w:type="dxa" w:w="108.000000"/>
          <w:right w:type="dxa" w:w="108.000000"/>
        </w:tblCellMar>
      </w:tblPr>
      <w:tblGrid>
        <w:gridCol w:w="855.000000"/>
        <w:gridCol w:w="1225.000000"/>
        <w:gridCol w:w="1210.000000"/>
        <w:gridCol w:w="6860.000000"/>
        <w:gridCol w:w="1410.000000"/>
        <w:gridCol w:w="2190.000000"/>
      </w:tblGrid>
      <w:tr w14:paraId="40689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616" w:hRule="atLeast"/>
        </w:trPr>
        <w:tc>
          <w:tcPr>
            <w:tcW w:w="855" w:type="dxa"/>
            <w:vAlign w:val="center"/>
          </w:tcPr>
          <w:p w14:paraId="7B3B8450">
            <w:pPr>
              <w:jc w:val="center"/>
              <w:rPr>
                <w:vertAlign w:val="baseline"/>
                <w:sz w:val="24"/>
                <w:lang w:eastAsia="zh-CN"/>
                <w:szCs w:val="24"/>
                <w:rFonts w:ascii="黑体" w:hAnsi="黑体" w:eastAsia="黑体" w:cs="黑体" w:hint="eastAsia"/>
              </w:rPr>
            </w:pPr>
            <w:r>
              <w:rPr>
                <w:vertAlign w:val="baseline"/>
                <w:sz w:val="24"/>
                <w:lang w:eastAsia="zh-CN"/>
                <w:szCs w:val="24"/>
                <w:rFonts w:ascii="黑体" w:hAnsi="黑体" w:eastAsia="黑体" w:cs="黑体" w:hint="eastAsia"/>
              </w:rPr>
              <w:t>序号</w:t>
            </w:r>
          </w:p>
        </w:tc>
        <w:tc>
          <w:tcPr>
            <w:tcW w:w="1225" w:type="dxa"/>
            <w:vAlign w:val="center"/>
          </w:tcPr>
          <w:p w14:paraId="6A52405B">
            <w:pPr>
              <w:jc w:val="center"/>
              <w:rPr>
                <w:vertAlign w:val="baseline"/>
                <w:sz w:val="24"/>
                <w:lang w:eastAsia="zh-CN"/>
                <w:szCs w:val="24"/>
                <w:rFonts w:ascii="黑体" w:hAnsi="黑体" w:eastAsia="黑体" w:cs="黑体" w:hint="eastAsia"/>
              </w:rPr>
            </w:pPr>
            <w:r>
              <w:rPr>
                <w:vertAlign w:val="baseline"/>
                <w:sz w:val="24"/>
                <w:lang w:eastAsia="zh-CN"/>
                <w:szCs w:val="24"/>
                <w:rFonts w:ascii="黑体" w:hAnsi="黑体" w:eastAsia="黑体" w:cs="黑体" w:hint="eastAsia"/>
              </w:rPr>
              <w:t>单位名称</w:t>
            </w:r>
          </w:p>
        </w:tc>
        <w:tc>
          <w:tcPr>
            <w:tcW w:w="1210" w:type="dxa"/>
            <w:vAlign w:val="center"/>
          </w:tcPr>
          <w:p w14:paraId="10E9A609">
            <w:pPr>
              <w:jc w:val="center"/>
              <w:rPr>
                <w:vertAlign w:val="baseline"/>
                <w:sz w:val="24"/>
                <w:lang w:eastAsia="zh-CN"/>
                <w:szCs w:val="24"/>
                <w:rFonts w:ascii="黑体" w:hAnsi="黑体" w:eastAsia="黑体" w:cs="黑体" w:hint="eastAsia"/>
              </w:rPr>
            </w:pPr>
            <w:r>
              <w:rPr>
                <w:vertAlign w:val="baseline"/>
                <w:sz w:val="24"/>
                <w:lang w:eastAsia="zh-CN"/>
                <w:szCs w:val="24"/>
                <w:rFonts w:ascii="黑体" w:hAnsi="黑体" w:eastAsia="黑体" w:cs="黑体" w:hint="eastAsia"/>
              </w:rPr>
              <w:t>行政检</w:t>
            </w:r>
          </w:p>
          <w:p w14:paraId="75078CFE">
            <w:pPr>
              <w:jc w:val="center"/>
              <w:rPr>
                <w:vertAlign w:val="baseline"/>
                <w:sz w:val="24"/>
                <w:lang w:eastAsia="zh-CN"/>
                <w:szCs w:val="24"/>
                <w:rFonts w:ascii="黑体" w:hAnsi="黑体" w:eastAsia="黑体" w:cs="黑体" w:hint="eastAsia"/>
              </w:rPr>
            </w:pPr>
            <w:r>
              <w:rPr>
                <w:vertAlign w:val="baseline"/>
                <w:sz w:val="24"/>
                <w:lang w:eastAsia="zh-CN"/>
                <w:szCs w:val="24"/>
                <w:rFonts w:ascii="黑体" w:hAnsi="黑体" w:eastAsia="黑体" w:cs="黑体" w:hint="eastAsia"/>
              </w:rPr>
              <w:t>查主体</w:t>
            </w:r>
          </w:p>
        </w:tc>
        <w:tc>
          <w:tcPr>
            <w:tcW w:w="6860" w:type="dxa"/>
            <w:vAlign w:val="center"/>
          </w:tcPr>
          <w:p w14:paraId="3D1562D2">
            <w:pPr>
              <w:jc w:val="center"/>
              <w:rPr>
                <w:vertAlign w:val="baseline"/>
                <w:sz w:val="24"/>
                <w:lang w:eastAsia="zh-CN"/>
                <w:szCs w:val="24"/>
                <w:rFonts w:ascii="黑体" w:hAnsi="黑体" w:eastAsia="黑体" w:cs="黑体" w:hint="eastAsia"/>
              </w:rPr>
            </w:pPr>
            <w:r>
              <w:rPr>
                <w:vertAlign w:val="baseline"/>
                <w:sz w:val="24"/>
                <w:lang w:eastAsia="zh-CN"/>
                <w:szCs w:val="24"/>
                <w:rFonts w:ascii="黑体" w:hAnsi="黑体" w:eastAsia="黑体" w:cs="黑体" w:hint="eastAsia"/>
              </w:rPr>
              <w:t>行政检查事项和依据</w:t>
            </w:r>
          </w:p>
        </w:tc>
        <w:tc>
          <w:tcPr>
            <w:tcW w:w="1410" w:type="dxa"/>
            <w:vAlign w:val="center"/>
          </w:tcPr>
          <w:p w14:paraId="1D411546">
            <w:pPr>
              <w:jc w:val="center"/>
              <w:rPr>
                <w:vertAlign w:val="baseline"/>
                <w:sz w:val="24"/>
                <w:lang w:eastAsia="zh-CN"/>
                <w:szCs w:val="24"/>
                <w:rFonts w:ascii="黑体" w:hAnsi="黑体" w:eastAsia="黑体" w:cs="黑体" w:hint="eastAsia"/>
              </w:rPr>
            </w:pPr>
            <w:r>
              <w:rPr>
                <w:vertAlign w:val="baseline"/>
                <w:sz w:val="24"/>
                <w:lang w:eastAsia="zh-CN"/>
                <w:szCs w:val="24"/>
                <w:rFonts w:ascii="黑体" w:hAnsi="黑体" w:eastAsia="黑体" w:cs="黑体" w:hint="eastAsia"/>
              </w:rPr>
              <w:t>行政检查频次上限</w:t>
            </w:r>
          </w:p>
        </w:tc>
        <w:tc>
          <w:tcPr>
            <w:tcW w:w="2190" w:type="dxa"/>
            <w:vAlign w:val="center"/>
          </w:tcPr>
          <w:p w14:paraId="10CEF435">
            <w:pPr>
              <w:jc w:val="center"/>
              <w:rPr>
                <w:vertAlign w:val="baseline"/>
                <w:sz w:val="24"/>
                <w:lang w:eastAsia="zh-CN"/>
                <w:szCs w:val="24"/>
                <w:rFonts w:ascii="黑体" w:hAnsi="黑体" w:eastAsia="黑体" w:cs="黑体" w:hint="eastAsia"/>
              </w:rPr>
            </w:pPr>
            <w:r>
              <w:rPr>
                <w:vertAlign w:val="baseline"/>
                <w:sz w:val="24"/>
                <w:lang w:eastAsia="zh-CN"/>
                <w:szCs w:val="24"/>
                <w:rFonts w:ascii="黑体" w:hAnsi="黑体" w:eastAsia="黑体" w:cs="黑体" w:hint="eastAsia"/>
              </w:rPr>
              <w:t>专项检查计划</w:t>
            </w:r>
          </w:p>
        </w:tc>
      </w:tr>
      <w:tr w14:paraId="53600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c>
          <w:tcPr>
            <w:tcW w:w="855" w:type="dxa"/>
            <w:vAlign w:val="center"/>
          </w:tcPr>
          <w:p w14:paraId="0761F9A6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center"/>
              <w:spacing w:line="280" w:lineRule="exact"/>
              <w:rPr>
                <w:vertAlign w:val="baseline"/>
                <w:color w:val="auto"/>
                <w:sz w:val="20"/>
                <w:lang w:val="en-US" w:eastAsia="zh-CN"/>
                <w:szCs w:val="20"/>
                <w:rFonts w:ascii="仿宋_GB2312" w:hAnsi="仿宋_GB2312" w:eastAsia="仿宋_GB2312" w:cs="仿宋_GB2312" w:hint="eastAsia"/>
              </w:rPr>
            </w:pPr>
            <w:r>
              <w:rPr>
                <w:vertAlign w:val="baseline"/>
                <w:color w:val="auto"/>
                <w:sz w:val="20"/>
                <w:lang w:val="en-US" w:eastAsia="zh-CN"/>
                <w:szCs w:val="20"/>
                <w:rFonts w:ascii="仿宋_GB2312" w:hAnsi="仿宋_GB2312" w:eastAsia="仿宋_GB2312" w:cs="仿宋_GB2312" w:hint="eastAsia"/>
              </w:rPr>
              <w:t>1</w:t>
            </w:r>
          </w:p>
        </w:tc>
        <w:tc>
          <w:tcPr>
            <w:tcW w:w="1225" w:type="dxa"/>
            <w:vAlign w:val="center"/>
          </w:tcPr>
          <w:p w14:paraId="6E0BC9FE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center"/>
              <w:spacing w:line="280" w:lineRule="exact"/>
              <w:rPr>
                <w:vertAlign w:val="baseline"/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</w:pPr>
            <w:r>
              <w:rPr>
                <w:vertAlign w:val="baseline"/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  <w:t>天门市农业农村局</w:t>
            </w:r>
          </w:p>
        </w:tc>
        <w:tc>
          <w:tcPr>
            <w:tcW w:w="1210" w:type="dxa"/>
            <w:vAlign w:val="center"/>
          </w:tcPr>
          <w:p w14:paraId="32F70C85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left"/>
              <w:spacing w:line="240" w:lineRule="exact"/>
              <w:rPr>
                <w:vertAlign w:val="baseline"/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</w:pPr>
            <w:r>
              <w:rPr>
                <w:vertAlign w:val="baseline"/>
                <w:color w:val="auto"/>
                <w:sz w:val="20"/>
                <w:lang w:eastAsia="zh-CN"/>
                <w:rFonts w:ascii="仿宋_GB2312" w:hAnsi="仿宋_GB2312" w:eastAsia="仿宋_GB2312" w:cs="仿宋_GB2312" w:hint="eastAsia"/>
              </w:rPr>
              <w:t>天</w:t>
            </w:r>
            <w:r>
              <w:rPr>
                <w:vertAlign w:val="baseline"/>
                <w:color w:val="auto"/>
                <w:sz w:val="20"/>
                <w:lang w:eastAsia="zh-CN"/>
                <w:rFonts w:ascii="仿宋_GB2312" w:hAnsi="仿宋_GB2312" w:eastAsia="仿宋_GB2312" w:cs="仿宋_GB2312" w:hint="eastAsia"/>
              </w:rPr>
              <w:t>门</w:t>
            </w:r>
            <w:r>
              <w:rPr>
                <w:vertAlign w:val="baseline"/>
                <w:color w:val="auto"/>
                <w:sz w:val="20"/>
                <w:lang w:eastAsia="zh-CN"/>
                <w:rFonts w:ascii="仿宋_GB2312" w:hAnsi="仿宋_GB2312" w:eastAsia="仿宋_GB2312" w:cs="仿宋_GB2312" w:hint="eastAsia"/>
              </w:rPr>
              <w:t>市</w:t>
            </w:r>
            <w:r>
              <w:rPr>
                <w:vertAlign w:val="baseline"/>
                <w:color w:val="auto"/>
                <w:sz w:val="20"/>
                <w:lang w:eastAsia="zh-CN"/>
                <w:rFonts w:ascii="仿宋_GB2312" w:hAnsi="仿宋_GB2312" w:eastAsia="仿宋_GB2312" w:cs="仿宋_GB2312" w:hint="eastAsia"/>
              </w:rPr>
              <w:t>农</w:t>
            </w:r>
            <w:r>
              <w:rPr>
                <w:vertAlign w:val="baseline"/>
                <w:color w:val="auto"/>
                <w:sz w:val="20"/>
                <w:lang w:eastAsia="zh-CN"/>
                <w:rFonts w:ascii="仿宋_GB2312" w:hAnsi="仿宋_GB2312" w:eastAsia="仿宋_GB2312" w:cs="仿宋_GB2312" w:hint="eastAsia"/>
              </w:rPr>
              <w:t>业</w:t>
            </w:r>
            <w:r>
              <w:rPr>
                <w:vertAlign w:val="baseline"/>
                <w:color w:val="auto"/>
                <w:sz w:val="20"/>
                <w:lang w:eastAsia="zh-CN"/>
                <w:rFonts w:ascii="仿宋_GB2312" w:hAnsi="仿宋_GB2312" w:eastAsia="仿宋_GB2312" w:cs="仿宋_GB2312" w:hint="eastAsia"/>
              </w:rPr>
              <w:t>农</w:t>
            </w:r>
            <w:r>
              <w:rPr>
                <w:vertAlign w:val="baseline"/>
                <w:color w:val="auto"/>
                <w:sz w:val="20"/>
                <w:lang w:eastAsia="zh-CN"/>
                <w:rFonts w:ascii="仿宋_GB2312" w:hAnsi="仿宋_GB2312" w:eastAsia="仿宋_GB2312" w:cs="仿宋_GB2312" w:hint="eastAsia"/>
              </w:rPr>
              <w:t>村</w:t>
            </w:r>
            <w:r>
              <w:rPr>
                <w:vertAlign w:val="baseline"/>
                <w:color w:val="auto"/>
                <w:sz w:val="20"/>
                <w:lang w:eastAsia="zh-CN"/>
                <w:rFonts w:ascii="仿宋_GB2312" w:hAnsi="仿宋_GB2312" w:eastAsia="仿宋_GB2312" w:cs="仿宋_GB2312" w:hint="eastAsia"/>
              </w:rPr>
              <w:t>局</w:t>
            </w:r>
          </w:p>
        </w:tc>
        <w:tc>
          <w:tcPr>
            <w:tcW w:w="6860" w:type="dxa"/>
            <w:vAlign w:val="center"/>
          </w:tcPr>
          <w:p w14:paraId="5B9F41D5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both"/>
              <w:spacing w:line="280" w:lineRule="exact"/>
              <w:rPr>
                <w:color w:val="auto"/>
                <w:sz w:val="20"/>
                <w:szCs w:val="20"/>
                <w:rFonts w:ascii="仿宋_GB2312" w:hAnsi="仿宋_GB2312" w:eastAsia="仿宋_GB2312" w:cs="仿宋_GB2312" w:hint="eastAsia"/>
              </w:rPr>
            </w:pPr>
            <w:r>
              <w:rPr>
                <w:color w:val="auto"/>
                <w:sz w:val="20"/>
                <w:lang w:eastAsia="zh-CN"/>
                <w:szCs w:val="20"/>
                <w:rFonts w:ascii="黑体" w:hAnsi="黑体" w:eastAsia="黑体" w:cs="黑体" w:hint="eastAsia"/>
              </w:rPr>
              <w:t>事项：</w:t>
            </w:r>
            <w:r>
              <w:rPr>
                <w:color w:val="auto"/>
                <w:sz w:val="20"/>
                <w:rFonts w:ascii="仿宋_GB2312" w:hAnsi="仿宋_GB2312" w:eastAsia="仿宋_GB2312" w:cs="仿宋_GB2312" w:hint="eastAsia"/>
              </w:rPr>
              <w:t>1.</w:t>
            </w:r>
            <w:r>
              <w:rPr>
                <w:color w:val="auto"/>
                <w:sz w:val="20"/>
                <w:rFonts w:ascii="仿宋_GB2312" w:hAnsi="仿宋_GB2312" w:eastAsia="仿宋_GB2312" w:cs="仿宋_GB2312" w:hint="eastAsia"/>
              </w:rPr>
              <w:t>畜</w:t>
            </w:r>
            <w:r>
              <w:rPr>
                <w:color w:val="auto"/>
                <w:sz w:val="20"/>
                <w:rFonts w:ascii="仿宋_GB2312" w:hAnsi="仿宋_GB2312" w:eastAsia="仿宋_GB2312" w:cs="仿宋_GB2312" w:hint="eastAsia"/>
              </w:rPr>
              <w:t>禽</w:t>
            </w:r>
            <w:r>
              <w:rPr>
                <w:color w:val="auto"/>
                <w:sz w:val="20"/>
                <w:rFonts w:ascii="仿宋_GB2312" w:hAnsi="仿宋_GB2312" w:eastAsia="仿宋_GB2312" w:cs="仿宋_GB2312" w:hint="eastAsia"/>
              </w:rPr>
              <w:t>屠</w:t>
            </w:r>
            <w:r>
              <w:rPr>
                <w:color w:val="auto"/>
                <w:sz w:val="20"/>
                <w:rFonts w:ascii="仿宋_GB2312" w:hAnsi="仿宋_GB2312" w:eastAsia="仿宋_GB2312" w:cs="仿宋_GB2312" w:hint="eastAsia"/>
              </w:rPr>
              <w:t>宰</w:t>
            </w:r>
            <w:r>
              <w:rPr>
                <w:color w:val="auto"/>
                <w:sz w:val="20"/>
                <w:rFonts w:ascii="仿宋_GB2312" w:hAnsi="仿宋_GB2312" w:eastAsia="仿宋_GB2312" w:cs="仿宋_GB2312" w:hint="eastAsia"/>
              </w:rPr>
              <w:t>企</w:t>
            </w:r>
            <w:r>
              <w:rPr>
                <w:color w:val="auto"/>
                <w:sz w:val="20"/>
                <w:rFonts w:ascii="仿宋_GB2312" w:hAnsi="仿宋_GB2312" w:eastAsia="仿宋_GB2312" w:cs="仿宋_GB2312" w:hint="eastAsia"/>
              </w:rPr>
              <w:t>业</w:t>
            </w:r>
            <w:r>
              <w:rPr>
                <w:color w:val="auto"/>
                <w:sz w:val="20"/>
                <w:rFonts w:ascii="仿宋_GB2312" w:hAnsi="仿宋_GB2312" w:eastAsia="仿宋_GB2312" w:cs="仿宋_GB2312" w:hint="eastAsia"/>
              </w:rPr>
              <w:t>的</w:t>
            </w:r>
            <w:r>
              <w:rPr>
                <w:color w:val="auto"/>
                <w:sz w:val="20"/>
                <w:szCs w:val="20"/>
                <w:rFonts w:ascii="仿宋_GB2312" w:hAnsi="仿宋_GB2312" w:eastAsia="仿宋_GB2312" w:cs="仿宋_GB2312" w:hint="eastAsia"/>
              </w:rPr>
              <w:t>工商</w:t>
            </w:r>
            <w:r>
              <w:rPr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  <w:t>营业</w:t>
            </w:r>
            <w:r>
              <w:rPr>
                <w:color w:val="auto"/>
                <w:sz w:val="20"/>
                <w:szCs w:val="20"/>
                <w:rFonts w:ascii="仿宋_GB2312" w:hAnsi="仿宋_GB2312" w:eastAsia="仿宋_GB2312" w:cs="仿宋_GB2312" w:hint="eastAsia"/>
              </w:rPr>
              <w:t>执照、</w:t>
            </w:r>
            <w:r>
              <w:rPr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  <w:t>动物</w:t>
            </w:r>
            <w:r>
              <w:rPr>
                <w:color w:val="auto"/>
                <w:sz w:val="20"/>
                <w:rFonts w:ascii="仿宋_GB2312" w:hAnsi="仿宋_GB2312" w:eastAsia="仿宋_GB2312" w:cs="仿宋_GB2312" w:hint="eastAsia"/>
              </w:rPr>
              <w:t>防疫</w:t>
            </w:r>
            <w:r>
              <w:rPr>
                <w:color w:val="auto"/>
                <w:sz w:val="20"/>
                <w:rFonts w:ascii="仿宋_GB2312" w:hAnsi="仿宋_GB2312" w:eastAsia="仿宋_GB2312" w:cs="仿宋_GB2312" w:hint="eastAsia"/>
              </w:rPr>
              <w:t>条</w:t>
            </w:r>
            <w:r>
              <w:rPr>
                <w:color w:val="auto"/>
                <w:sz w:val="20"/>
                <w:rFonts w:ascii="仿宋_GB2312" w:hAnsi="仿宋_GB2312" w:eastAsia="仿宋_GB2312" w:cs="仿宋_GB2312" w:hint="eastAsia"/>
              </w:rPr>
              <w:t>件</w:t>
            </w:r>
            <w:r>
              <w:rPr>
                <w:color w:val="auto"/>
                <w:sz w:val="20"/>
                <w:szCs w:val="20"/>
                <w:rFonts w:ascii="仿宋_GB2312" w:hAnsi="仿宋_GB2312" w:eastAsia="仿宋_GB2312" w:cs="仿宋_GB2312" w:hint="eastAsia"/>
              </w:rPr>
              <w:t>合格证、畜禽</w:t>
            </w:r>
            <w:r>
              <w:rPr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  <w:t>屠</w:t>
            </w:r>
            <w:r>
              <w:rPr>
                <w:color w:val="auto"/>
                <w:sz w:val="20"/>
                <w:szCs w:val="20"/>
                <w:rFonts w:ascii="仿宋_GB2312" w:hAnsi="仿宋_GB2312" w:eastAsia="仿宋_GB2312" w:cs="仿宋_GB2312" w:hint="eastAsia"/>
              </w:rPr>
              <w:t>宰许可是否在有效期</w:t>
            </w:r>
            <w:r>
              <w:rPr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  <w:t>内</w:t>
            </w:r>
            <w:r>
              <w:rPr>
                <w:color w:val="auto"/>
                <w:sz w:val="20"/>
                <w:szCs w:val="20"/>
                <w:rFonts w:ascii="仿宋_GB2312" w:hAnsi="仿宋_GB2312" w:eastAsia="仿宋_GB2312" w:cs="仿宋_GB2312" w:hint="eastAsia"/>
              </w:rPr>
              <w:t>;2.卫生条件生产布局是否合理;3.屠宰操作规程是否规范;4.消毒及无害化处理是否符合规定;5.生产记录及档案管理是否合格;6.肉品品质检验是否合格。</w:t>
            </w:r>
          </w:p>
          <w:p w14:paraId="5A7D1E54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both"/>
              <w:spacing w:line="280" w:lineRule="exact"/>
              <w:rPr>
                <w:vertAlign w:val="baseline"/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</w:pPr>
            <w:r>
              <w:rPr>
                <w:color w:val="auto"/>
                <w:sz w:val="20"/>
                <w:lang w:eastAsia="zh-CN"/>
                <w:szCs w:val="20"/>
                <w:rFonts w:ascii="黑体" w:hAnsi="黑体" w:eastAsia="黑体" w:cs="黑体" w:hint="eastAsia"/>
              </w:rPr>
              <w:t>依据：</w:t>
            </w:r>
            <w:r>
              <w:rPr>
                <w:color w:val="auto"/>
                <w:sz w:val="20"/>
                <w:szCs w:val="20"/>
                <w:rFonts w:ascii="仿宋_GB2312" w:hAnsi="仿宋_GB2312" w:eastAsia="仿宋_GB2312" w:cs="仿宋_GB2312" w:hint="eastAsia"/>
              </w:rPr>
              <w:t>《</w:t>
            </w:r>
            <w:r>
              <w:rPr>
                <w:color w:val="auto"/>
                <w:sz w:val="20"/>
                <w:lang w:val="en-US" w:eastAsia="zh-CN"/>
                <w:szCs w:val="20"/>
                <w:rFonts w:ascii="仿宋_GB2312" w:hAnsi="仿宋_GB2312" w:eastAsia="仿宋_GB2312" w:cs="仿宋_GB2312" w:hint="eastAsia"/>
              </w:rPr>
              <w:t>中华人民共和国</w:t>
            </w:r>
            <w:r>
              <w:rPr>
                <w:color w:val="auto"/>
                <w:sz w:val="20"/>
                <w:szCs w:val="20"/>
                <w:rFonts w:ascii="仿宋_GB2312" w:hAnsi="仿宋_GB2312" w:eastAsia="仿宋_GB2312" w:cs="仿宋_GB2312" w:hint="eastAsia"/>
              </w:rPr>
              <w:t>动物防疫法》、《生猪屠宰管理条例》</w:t>
            </w:r>
            <w:r>
              <w:rPr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  <w:t>。</w:t>
            </w:r>
          </w:p>
        </w:tc>
        <w:tc>
          <w:tcPr>
            <w:tcW w:w="1410" w:type="dxa"/>
            <w:vAlign w:val="center"/>
          </w:tcPr>
          <w:p w14:paraId="1639063C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center"/>
              <w:spacing w:line="280" w:lineRule="exact"/>
              <w:rPr>
                <w:vertAlign w:val="baseline"/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</w:pPr>
            <w:r>
              <w:rPr>
                <w:vertAlign w:val="baseline"/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  <w:t>待上级部门统一规定</w:t>
            </w:r>
          </w:p>
        </w:tc>
        <w:tc>
          <w:tcPr>
            <w:tcW w:w="2190" w:type="dxa"/>
            <w:vAlign w:val="center"/>
          </w:tcPr>
          <w:p w14:paraId="77522731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both"/>
              <w:spacing w:line="280" w:lineRule="exact"/>
              <w:rPr>
                <w:vertAlign w:val="baseline"/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</w:pPr>
            <w:r>
              <w:rPr>
                <w:vertAlign w:val="baseline"/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  <w:t>每季度例行检查，重大节假日检查</w:t>
            </w:r>
          </w:p>
        </w:tc>
      </w:tr>
      <w:tr w14:paraId="6D2BF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c>
          <w:tcPr>
            <w:tcW w:w="855" w:type="dxa"/>
            <w:vAlign w:val="center"/>
          </w:tcPr>
          <w:p w14:paraId="10566A9D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center"/>
              <w:spacing w:line="280" w:lineRule="exact"/>
              <w:rPr>
                <w:vertAlign w:val="baseline"/>
                <w:color w:val="auto"/>
                <w:sz w:val="20"/>
                <w:lang w:val="en-US" w:eastAsia="zh-CN"/>
                <w:szCs w:val="20"/>
                <w:rFonts w:ascii="仿宋_GB2312" w:hAnsi="仿宋_GB2312" w:eastAsia="仿宋_GB2312" w:cs="仿宋_GB2312" w:hint="eastAsia"/>
              </w:rPr>
            </w:pPr>
            <w:r>
              <w:rPr>
                <w:vertAlign w:val="baseline"/>
                <w:color w:val="auto"/>
                <w:sz w:val="20"/>
                <w:lang w:val="en-US" w:eastAsia="zh-CN"/>
                <w:szCs w:val="20"/>
                <w:rFonts w:ascii="仿宋_GB2312" w:hAnsi="仿宋_GB2312" w:eastAsia="仿宋_GB2312" w:cs="仿宋_GB2312" w:hint="eastAsia"/>
              </w:rPr>
              <w:t>2</w:t>
            </w:r>
          </w:p>
        </w:tc>
        <w:tc>
          <w:tcPr>
            <w:tcW w:w="1225" w:type="dxa"/>
            <w:vAlign w:val="center"/>
          </w:tcPr>
          <w:p w14:paraId="568D8BE8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center"/>
              <w:spacing w:line="280" w:lineRule="exact"/>
              <w:rPr>
                <w:vertAlign w:val="baseline"/>
                <w:color w:val="auto"/>
                <w:sz w:val="20"/>
                <w:szCs w:val="20"/>
                <w:rFonts w:ascii="仿宋_GB2312" w:hAnsi="仿宋_GB2312" w:eastAsia="仿宋_GB2312" w:cs="仿宋_GB2312" w:hint="eastAsia"/>
              </w:rPr>
            </w:pPr>
            <w:r>
              <w:rPr>
                <w:vertAlign w:val="baseline"/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  <w:t>天门市农业农村局</w:t>
            </w:r>
          </w:p>
        </w:tc>
        <w:tc>
          <w:tcPr>
            <w:tcW w:w="1210" w:type="dxa"/>
            <w:vAlign w:val="center"/>
          </w:tcPr>
          <w:p w14:paraId="7B5D2924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left"/>
              <w:spacing w:line="240" w:lineRule="exact"/>
              <w:rPr>
                <w:vertAlign w:val="baseline"/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</w:pPr>
            <w:r>
              <w:rPr>
                <w:vertAlign w:val="baseline"/>
                <w:color w:val="auto"/>
                <w:sz w:val="20"/>
                <w:lang w:eastAsia="zh-CN"/>
                <w:rFonts w:ascii="仿宋_GB2312" w:hAnsi="仿宋_GB2312" w:eastAsia="仿宋_GB2312" w:cs="仿宋_GB2312" w:hint="eastAsia"/>
              </w:rPr>
              <w:t>天门市农业农村局</w:t>
            </w:r>
          </w:p>
        </w:tc>
        <w:tc>
          <w:tcPr>
            <w:tcW w:w="6860" w:type="dxa"/>
            <w:vAlign w:val="center"/>
            <w:shd w:val="clear" w:color="auto" w:fill="auto"/>
          </w:tcPr>
          <w:p w14:paraId="13ED9DB0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both"/>
              <w:spacing w:line="280" w:lineRule="exact"/>
              <w:rPr>
                <w:color w:val="auto"/>
                <w:sz w:val="20"/>
                <w:szCs w:val="20"/>
                <w:rFonts w:ascii="仿宋_GB2312" w:hAnsi="仿宋_GB2312" w:eastAsia="仿宋_GB2312" w:cs="仿宋_GB2312" w:hint="eastAsia"/>
              </w:rPr>
            </w:pPr>
            <w:r>
              <w:rPr>
                <w:color w:val="auto"/>
                <w:sz w:val="20"/>
                <w:lang w:eastAsia="zh-CN"/>
                <w:szCs w:val="20"/>
                <w:rFonts w:ascii="黑体" w:hAnsi="黑体" w:eastAsia="黑体" w:cs="黑体" w:hint="eastAsia"/>
              </w:rPr>
              <w:t>事项：</w:t>
            </w:r>
            <w:r>
              <w:rPr>
                <w:color w:val="auto"/>
                <w:sz w:val="20"/>
                <w:rFonts w:ascii="仿宋_GB2312" w:hAnsi="仿宋_GB2312" w:eastAsia="仿宋_GB2312" w:cs="仿宋_GB2312" w:hint="eastAsia"/>
              </w:rPr>
              <w:t>1.</w:t>
            </w:r>
            <w:r>
              <w:rPr>
                <w:color w:val="auto"/>
                <w:sz w:val="20"/>
                <w:rFonts w:ascii="仿宋_GB2312" w:hAnsi="仿宋_GB2312" w:eastAsia="仿宋_GB2312" w:cs="仿宋_GB2312" w:hint="eastAsia"/>
              </w:rPr>
              <w:t>动</w:t>
            </w:r>
            <w:r>
              <w:rPr>
                <w:color w:val="auto"/>
                <w:sz w:val="20"/>
                <w:rFonts w:ascii="仿宋_GB2312" w:hAnsi="仿宋_GB2312" w:eastAsia="仿宋_GB2312" w:cs="仿宋_GB2312" w:hint="eastAsia"/>
              </w:rPr>
              <w:t>物</w:t>
            </w:r>
            <w:r>
              <w:rPr>
                <w:color w:val="auto"/>
                <w:sz w:val="20"/>
                <w:rFonts w:ascii="仿宋_GB2312" w:hAnsi="仿宋_GB2312" w:eastAsia="仿宋_GB2312" w:cs="仿宋_GB2312" w:hint="eastAsia"/>
              </w:rPr>
              <w:t>诊</w:t>
            </w:r>
            <w:r>
              <w:rPr>
                <w:color w:val="auto"/>
                <w:sz w:val="20"/>
                <w:rFonts w:ascii="仿宋_GB2312" w:hAnsi="仿宋_GB2312" w:eastAsia="仿宋_GB2312" w:cs="仿宋_GB2312" w:hint="eastAsia"/>
              </w:rPr>
              <w:t>疗</w:t>
            </w:r>
            <w:r>
              <w:rPr>
                <w:color w:val="auto"/>
                <w:sz w:val="20"/>
                <w:rFonts w:ascii="仿宋_GB2312" w:hAnsi="仿宋_GB2312" w:eastAsia="仿宋_GB2312" w:cs="仿宋_GB2312" w:hint="eastAsia"/>
              </w:rPr>
              <w:t>机</w:t>
            </w:r>
            <w:r>
              <w:rPr>
                <w:color w:val="auto"/>
                <w:sz w:val="20"/>
                <w:rFonts w:ascii="仿宋_GB2312" w:hAnsi="仿宋_GB2312" w:eastAsia="仿宋_GB2312" w:cs="仿宋_GB2312" w:hint="eastAsia"/>
              </w:rPr>
              <w:t>构</w:t>
            </w:r>
            <w:r>
              <w:rPr>
                <w:color w:val="auto"/>
                <w:sz w:val="20"/>
                <w:rFonts w:ascii="仿宋_GB2312" w:hAnsi="仿宋_GB2312" w:eastAsia="仿宋_GB2312" w:cs="仿宋_GB2312" w:hint="eastAsia"/>
              </w:rPr>
              <w:t>资</w:t>
            </w:r>
            <w:r>
              <w:rPr>
                <w:color w:val="auto"/>
                <w:sz w:val="20"/>
                <w:szCs w:val="20"/>
                <w:rFonts w:ascii="仿宋_GB2312" w:hAnsi="仿宋_GB2312" w:eastAsia="仿宋_GB2312" w:cs="仿宋_GB2312" w:hint="eastAsia"/>
              </w:rPr>
              <w:t>质是否齐全;2.选址、布局情况是否合理;3.设施设备是否齐全;4.无害化处理情况是否符合要求;5.从业人员健康情况是否合格;6.病例、处方是否规范;7.卫生条件是否合格。</w:t>
            </w:r>
          </w:p>
          <w:p w14:paraId="13D31471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both"/>
              <w:spacing w:line="280" w:lineRule="exact"/>
              <w:rPr>
                <w:color w:val="auto"/>
                <w:sz w:val="20"/>
                <w:lang w:val="en-US" w:eastAsia="zh-CN"/>
                <w:szCs w:val="20"/>
                <w:rFonts w:ascii="仿宋_GB2312" w:hAnsi="仿宋_GB2312" w:eastAsia="仿宋_GB2312" w:cs="仿宋_GB2312" w:hint="eastAsia"/>
              </w:rPr>
            </w:pPr>
            <w:r>
              <w:rPr>
                <w:color w:val="auto"/>
                <w:sz w:val="20"/>
                <w:lang w:eastAsia="zh-CN"/>
                <w:szCs w:val="20"/>
                <w:rFonts w:ascii="黑体" w:hAnsi="黑体" w:eastAsia="黑体" w:cs="黑体" w:hint="eastAsia"/>
              </w:rPr>
              <w:t>依据：</w:t>
            </w:r>
            <w:r>
              <w:rPr>
                <w:color w:val="auto"/>
                <w:sz w:val="20"/>
                <w:szCs w:val="20"/>
                <w:rFonts w:ascii="仿宋_GB2312" w:hAnsi="仿宋_GB2312" w:eastAsia="仿宋_GB2312" w:cs="仿宋_GB2312" w:hint="eastAsia"/>
              </w:rPr>
              <w:t>《</w:t>
            </w:r>
            <w:r>
              <w:rPr>
                <w:color w:val="auto"/>
                <w:sz w:val="20"/>
                <w:lang w:val="en-US" w:eastAsia="zh-CN"/>
                <w:szCs w:val="20"/>
                <w:rFonts w:ascii="仿宋_GB2312" w:hAnsi="仿宋_GB2312" w:eastAsia="仿宋_GB2312" w:cs="仿宋_GB2312" w:hint="eastAsia"/>
              </w:rPr>
              <w:t>中华人民共和国</w:t>
            </w:r>
            <w:r>
              <w:rPr>
                <w:color w:val="auto"/>
                <w:sz w:val="20"/>
                <w:szCs w:val="20"/>
                <w:rFonts w:ascii="仿宋_GB2312" w:hAnsi="仿宋_GB2312" w:eastAsia="仿宋_GB2312" w:cs="仿宋_GB2312" w:hint="eastAsia"/>
              </w:rPr>
              <w:t>动物防疫法》、《动物诊疗机构管理办法》</w:t>
            </w:r>
            <w:r>
              <w:rPr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  <w:t>。</w:t>
            </w:r>
          </w:p>
        </w:tc>
        <w:tc>
          <w:tcPr>
            <w:tcW w:w="1410" w:type="dxa"/>
            <w:vAlign w:val="center"/>
          </w:tcPr>
          <w:p w14:paraId="69481D23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center"/>
              <w:spacing w:line="280" w:lineRule="exact"/>
              <w:rPr>
                <w:vertAlign w:val="baseline"/>
                <w:color w:val="auto"/>
                <w:sz w:val="20"/>
                <w:szCs w:val="20"/>
                <w:rFonts w:ascii="仿宋_GB2312" w:hAnsi="仿宋_GB2312" w:eastAsia="仿宋_GB2312" w:cs="仿宋_GB2312" w:hint="eastAsia"/>
              </w:rPr>
            </w:pPr>
            <w:r>
              <w:rPr>
                <w:vertAlign w:val="baseline"/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  <w:t>待上级部门统一规定</w:t>
            </w:r>
          </w:p>
        </w:tc>
        <w:tc>
          <w:tcPr>
            <w:tcW w:w="2190" w:type="dxa"/>
            <w:vAlign w:val="center"/>
          </w:tcPr>
          <w:p w14:paraId="1B40F295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center"/>
              <w:spacing w:line="280" w:lineRule="exact"/>
              <w:rPr>
                <w:vertAlign w:val="baseline"/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</w:pPr>
            <w:r>
              <w:rPr>
                <w:vertAlign w:val="baseline"/>
                <w:color w:val="auto"/>
                <w:sz w:val="20"/>
                <w:lang w:eastAsia="zh-CN"/>
                <w:rFonts w:ascii="仿宋_GB2312" w:hAnsi="仿宋_GB2312" w:eastAsia="仿宋_GB2312" w:cs="仿宋_GB2312" w:hint="eastAsia"/>
              </w:rPr>
              <w:t>一</w:t>
            </w:r>
            <w:r>
              <w:rPr>
                <w:vertAlign w:val="baseline"/>
                <w:color w:val="auto"/>
                <w:sz w:val="20"/>
                <w:lang w:eastAsia="zh-CN"/>
                <w:rFonts w:ascii="仿宋_GB2312" w:hAnsi="仿宋_GB2312" w:eastAsia="仿宋_GB2312" w:cs="仿宋_GB2312" w:hint="eastAsia"/>
              </w:rPr>
              <w:t>年</w:t>
            </w:r>
            <w:r>
              <w:rPr>
                <w:vertAlign w:val="baseline"/>
                <w:color w:val="auto"/>
                <w:sz w:val="20"/>
                <w:lang w:eastAsia="zh-CN"/>
                <w:rFonts w:ascii="仿宋_GB2312" w:hAnsi="仿宋_GB2312" w:eastAsia="仿宋_GB2312" w:cs="仿宋_GB2312" w:hint="eastAsia"/>
              </w:rPr>
              <w:t>两</w:t>
            </w:r>
            <w:r>
              <w:rPr>
                <w:vertAlign w:val="baseline"/>
                <w:color w:val="auto"/>
                <w:sz w:val="20"/>
                <w:lang w:eastAsia="zh-CN"/>
                <w:rFonts w:ascii="仿宋_GB2312" w:hAnsi="仿宋_GB2312" w:eastAsia="仿宋_GB2312" w:cs="仿宋_GB2312" w:hint="eastAsia"/>
              </w:rPr>
              <w:t>次</w:t>
            </w:r>
            <w:r>
              <w:rPr>
                <w:vertAlign w:val="baseline"/>
                <w:color w:val="auto"/>
                <w:sz w:val="20"/>
                <w:lang w:eastAsia="zh-CN"/>
                <w:rFonts w:ascii="仿宋_GB2312" w:hAnsi="仿宋_GB2312" w:eastAsia="仿宋_GB2312" w:cs="仿宋_GB2312" w:hint="eastAsia"/>
              </w:rPr>
              <w:t>行</w:t>
            </w:r>
            <w:r>
              <w:rPr>
                <w:vertAlign w:val="baseline"/>
                <w:color w:val="auto"/>
                <w:sz w:val="20"/>
                <w:lang w:eastAsia="zh-CN"/>
                <w:rFonts w:ascii="仿宋_GB2312" w:hAnsi="仿宋_GB2312" w:eastAsia="仿宋_GB2312" w:cs="仿宋_GB2312" w:hint="eastAsia"/>
              </w:rPr>
              <w:t>例</w:t>
            </w:r>
            <w:r>
              <w:rPr>
                <w:vertAlign w:val="baseline"/>
                <w:color w:val="auto"/>
                <w:sz w:val="20"/>
                <w:lang w:eastAsia="zh-CN"/>
                <w:rFonts w:ascii="仿宋_GB2312" w:hAnsi="仿宋_GB2312" w:eastAsia="仿宋_GB2312" w:cs="仿宋_GB2312" w:hint="eastAsia"/>
              </w:rPr>
              <w:t>行</w:t>
            </w:r>
            <w:r>
              <w:rPr>
                <w:vertAlign w:val="baseline"/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  <w:t>检查</w:t>
            </w:r>
          </w:p>
        </w:tc>
      </w:tr>
      <w:tr w14:paraId="0A783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c>
          <w:tcPr>
            <w:tcW w:w="855" w:type="dxa"/>
            <w:vAlign w:val="center"/>
          </w:tcPr>
          <w:p w14:paraId="13B9585E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center"/>
              <w:spacing w:line="280" w:lineRule="exact"/>
              <w:rPr>
                <w:vertAlign w:val="baseline"/>
                <w:color w:val="auto"/>
                <w:sz w:val="20"/>
                <w:lang w:val="en-US" w:eastAsia="zh-CN"/>
                <w:szCs w:val="20"/>
                <w:rFonts w:ascii="仿宋_GB2312" w:hAnsi="仿宋_GB2312" w:eastAsia="仿宋_GB2312" w:cs="仿宋_GB2312" w:hint="eastAsia"/>
              </w:rPr>
            </w:pPr>
            <w:r>
              <w:rPr>
                <w:vertAlign w:val="baseline"/>
                <w:color w:val="auto"/>
                <w:sz w:val="20"/>
                <w:lang w:val="en-US" w:eastAsia="zh-CN"/>
                <w:szCs w:val="20"/>
                <w:rFonts w:ascii="仿宋_GB2312" w:hAnsi="仿宋_GB2312" w:eastAsia="仿宋_GB2312" w:cs="仿宋_GB2312" w:hint="eastAsia"/>
              </w:rPr>
              <w:t>3</w:t>
            </w:r>
          </w:p>
        </w:tc>
        <w:tc>
          <w:tcPr>
            <w:tcW w:w="1225" w:type="dxa"/>
            <w:vAlign w:val="center"/>
          </w:tcPr>
          <w:p w14:paraId="6D8D360F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center"/>
              <w:spacing w:line="280" w:lineRule="exact"/>
              <w:rPr>
                <w:vertAlign w:val="baseline"/>
                <w:color w:val="auto"/>
                <w:sz w:val="20"/>
                <w:szCs w:val="20"/>
                <w:rFonts w:ascii="仿宋_GB2312" w:hAnsi="仿宋_GB2312" w:eastAsia="仿宋_GB2312" w:cs="仿宋_GB2312" w:hint="eastAsia"/>
              </w:rPr>
            </w:pPr>
            <w:r>
              <w:rPr>
                <w:vertAlign w:val="baseline"/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  <w:t>天门市农业农村局</w:t>
            </w:r>
          </w:p>
        </w:tc>
        <w:tc>
          <w:tcPr>
            <w:tcW w:w="1210" w:type="dxa"/>
            <w:vAlign w:val="center"/>
          </w:tcPr>
          <w:p w14:paraId="048B68C7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left"/>
              <w:spacing w:line="240" w:lineRule="exact"/>
              <w:rPr>
                <w:vertAlign w:val="baseline"/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</w:pPr>
            <w:r>
              <w:rPr>
                <w:vertAlign w:val="baseline"/>
                <w:color w:val="auto"/>
                <w:sz w:val="20"/>
                <w:lang w:eastAsia="zh-CN"/>
                <w:rFonts w:ascii="仿宋_GB2312" w:hAnsi="仿宋_GB2312" w:eastAsia="仿宋_GB2312" w:cs="仿宋_GB2312" w:hint="eastAsia"/>
              </w:rPr>
              <w:t>天门市农业农村局</w:t>
            </w:r>
          </w:p>
        </w:tc>
        <w:tc>
          <w:tcPr>
            <w:tcW w:w="6860" w:type="dxa"/>
            <w:vAlign w:val="center"/>
            <w:shd w:val="clear" w:color="auto" w:fill="auto"/>
          </w:tcPr>
          <w:p w14:paraId="56E618C8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both"/>
              <w:spacing w:line="280" w:lineRule="exact"/>
              <w:rPr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</w:pPr>
            <w:r>
              <w:rPr>
                <w:color w:val="auto"/>
                <w:sz w:val="20"/>
                <w:lang w:eastAsia="zh-CN"/>
                <w:szCs w:val="20"/>
                <w:rFonts w:ascii="黑体" w:hAnsi="黑体" w:eastAsia="黑体" w:cs="黑体" w:hint="eastAsia"/>
              </w:rPr>
              <w:t>事项：</w:t>
            </w:r>
            <w:r>
              <w:rPr>
                <w:color w:val="auto"/>
                <w:sz w:val="20"/>
                <w:rFonts w:ascii="仿宋_GB2312" w:hAnsi="仿宋_GB2312" w:eastAsia="仿宋_GB2312" w:cs="仿宋_GB2312" w:hint="eastAsia"/>
              </w:rPr>
              <w:t>1.</w:t>
            </w:r>
            <w:r>
              <w:rPr>
                <w:color w:val="auto"/>
                <w:sz w:val="20"/>
                <w:rFonts w:ascii="仿宋_GB2312" w:hAnsi="仿宋_GB2312" w:eastAsia="仿宋_GB2312" w:cs="仿宋_GB2312" w:hint="eastAsia"/>
              </w:rPr>
              <w:t>无</w:t>
            </w:r>
            <w:r>
              <w:rPr>
                <w:color w:val="auto"/>
                <w:sz w:val="20"/>
                <w:rFonts w:ascii="仿宋_GB2312" w:hAnsi="仿宋_GB2312" w:eastAsia="仿宋_GB2312" w:cs="仿宋_GB2312" w:hint="eastAsia"/>
              </w:rPr>
              <w:t>害</w:t>
            </w:r>
            <w:r>
              <w:rPr>
                <w:color w:val="auto"/>
                <w:sz w:val="20"/>
                <w:rFonts w:ascii="仿宋_GB2312" w:hAnsi="仿宋_GB2312" w:eastAsia="仿宋_GB2312" w:cs="仿宋_GB2312" w:hint="eastAsia"/>
              </w:rPr>
              <w:t>化</w:t>
            </w:r>
            <w:r>
              <w:rPr>
                <w:color w:val="auto"/>
                <w:sz w:val="20"/>
                <w:rFonts w:ascii="仿宋_GB2312" w:hAnsi="仿宋_GB2312" w:eastAsia="仿宋_GB2312" w:cs="仿宋_GB2312" w:hint="eastAsia"/>
              </w:rPr>
              <w:t>处</w:t>
            </w:r>
            <w:r>
              <w:rPr>
                <w:color w:val="auto"/>
                <w:sz w:val="20"/>
                <w:rFonts w:ascii="仿宋_GB2312" w:hAnsi="仿宋_GB2312" w:eastAsia="仿宋_GB2312" w:cs="仿宋_GB2312" w:hint="eastAsia"/>
              </w:rPr>
              <w:t>理</w:t>
            </w:r>
            <w:r>
              <w:rPr>
                <w:color w:val="auto"/>
                <w:sz w:val="20"/>
                <w:rFonts w:ascii="仿宋_GB2312" w:hAnsi="仿宋_GB2312" w:eastAsia="仿宋_GB2312" w:cs="仿宋_GB2312" w:hint="eastAsia"/>
              </w:rPr>
              <w:t>场</w:t>
            </w:r>
            <w:r>
              <w:rPr>
                <w:color w:val="auto"/>
                <w:sz w:val="20"/>
                <w:rFonts w:ascii="仿宋_GB2312" w:hAnsi="仿宋_GB2312" w:eastAsia="仿宋_GB2312" w:cs="仿宋_GB2312" w:hint="eastAsia"/>
              </w:rPr>
              <w:t>生</w:t>
            </w:r>
            <w:r>
              <w:rPr>
                <w:color w:val="auto"/>
                <w:sz w:val="20"/>
                <w:rFonts w:ascii="仿宋_GB2312" w:hAnsi="仿宋_GB2312" w:eastAsia="仿宋_GB2312" w:cs="仿宋_GB2312" w:hint="eastAsia"/>
              </w:rPr>
              <w:t>产经营资质是否合格;2.卫生条件是否合格、生产布局是否合理;3.操作规程是否规范;4.消毒情况是否合理;5.</w:t>
            </w:r>
            <w:r>
              <w:rPr>
                <w:color w:val="auto"/>
                <w:sz w:val="20"/>
                <w:rFonts w:ascii="仿宋_GB2312" w:hAnsi="仿宋_GB2312" w:eastAsia="仿宋_GB2312" w:cs="仿宋_GB2312" w:hint="eastAsia"/>
              </w:rPr>
              <w:t>处理</w:t>
            </w:r>
            <w:r>
              <w:rPr>
                <w:color w:val="auto"/>
                <w:sz w:val="20"/>
                <w:rFonts w:ascii="仿宋_GB2312" w:hAnsi="仿宋_GB2312" w:eastAsia="仿宋_GB2312" w:cs="仿宋_GB2312" w:hint="eastAsia"/>
              </w:rPr>
              <w:t>记</w:t>
            </w:r>
            <w:r>
              <w:rPr>
                <w:color w:val="auto"/>
                <w:sz w:val="20"/>
                <w:rFonts w:ascii="仿宋_GB2312" w:hAnsi="仿宋_GB2312" w:eastAsia="仿宋_GB2312" w:cs="仿宋_GB2312" w:hint="eastAsia"/>
              </w:rPr>
              <w:t>录</w:t>
            </w:r>
            <w:r>
              <w:rPr>
                <w:color w:val="auto"/>
                <w:sz w:val="20"/>
                <w:rFonts w:ascii="仿宋_GB2312" w:hAnsi="仿宋_GB2312" w:eastAsia="仿宋_GB2312" w:cs="仿宋_GB2312" w:hint="eastAsia"/>
              </w:rPr>
              <w:t>等</w:t>
            </w:r>
            <w:r>
              <w:rPr>
                <w:color w:val="auto"/>
                <w:sz w:val="20"/>
                <w:rFonts w:ascii="仿宋_GB2312" w:hAnsi="仿宋_GB2312" w:eastAsia="仿宋_GB2312" w:cs="仿宋_GB2312" w:hint="eastAsia"/>
              </w:rPr>
              <w:t>是</w:t>
            </w:r>
            <w:r>
              <w:rPr>
                <w:color w:val="auto"/>
                <w:sz w:val="20"/>
                <w:rFonts w:ascii="仿宋_GB2312" w:hAnsi="仿宋_GB2312" w:eastAsia="仿宋_GB2312" w:cs="仿宋_GB2312" w:hint="eastAsia"/>
              </w:rPr>
              <w:t>否</w:t>
            </w:r>
            <w:r>
              <w:rPr>
                <w:color w:val="auto"/>
                <w:sz w:val="20"/>
                <w:rFonts w:ascii="仿宋_GB2312" w:hAnsi="仿宋_GB2312" w:eastAsia="仿宋_GB2312" w:cs="仿宋_GB2312" w:hint="eastAsia"/>
              </w:rPr>
              <w:t>完</w:t>
            </w:r>
            <w:r>
              <w:rPr>
                <w:color w:val="auto"/>
                <w:sz w:val="20"/>
                <w:rFonts w:ascii="仿宋_GB2312" w:hAnsi="仿宋_GB2312" w:eastAsia="仿宋_GB2312" w:cs="仿宋_GB2312" w:hint="eastAsia"/>
              </w:rPr>
              <w:t>善</w:t>
            </w:r>
            <w:r>
              <w:rPr>
                <w:color w:val="auto"/>
                <w:sz w:val="20"/>
                <w:szCs w:val="20"/>
                <w:rFonts w:ascii="仿宋_GB2312" w:hAnsi="仿宋_GB2312" w:eastAsia="仿宋_GB2312" w:cs="仿宋_GB2312" w:hint="eastAsia"/>
              </w:rPr>
              <w:t>;6.管理制度是否规范</w:t>
            </w:r>
            <w:r>
              <w:rPr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  <w:t>。</w:t>
            </w:r>
          </w:p>
          <w:p w14:paraId="33BBFEA8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both"/>
              <w:spacing w:line="280" w:lineRule="exact"/>
              <w:rPr>
                <w:color w:val="auto"/>
                <w:sz w:val="20"/>
                <w:lang w:val="en-US" w:eastAsia="zh-CN"/>
                <w:szCs w:val="20"/>
                <w:rFonts w:ascii="仿宋_GB2312" w:hAnsi="仿宋_GB2312" w:eastAsia="仿宋_GB2312" w:cs="仿宋_GB2312" w:hint="eastAsia"/>
              </w:rPr>
            </w:pPr>
            <w:r>
              <w:rPr>
                <w:color w:val="auto"/>
                <w:sz w:val="20"/>
                <w:lang w:eastAsia="zh-CN"/>
                <w:szCs w:val="20"/>
                <w:rFonts w:ascii="黑体" w:hAnsi="黑体" w:eastAsia="黑体" w:cs="黑体" w:hint="eastAsia"/>
              </w:rPr>
              <w:t>依据：</w:t>
            </w:r>
            <w:r>
              <w:rPr>
                <w:color w:val="auto"/>
                <w:sz w:val="20"/>
                <w:szCs w:val="20"/>
                <w:rFonts w:ascii="仿宋_GB2312" w:hAnsi="仿宋_GB2312" w:eastAsia="仿宋_GB2312" w:cs="仿宋_GB2312" w:hint="eastAsia"/>
              </w:rPr>
              <w:t>《</w:t>
            </w:r>
            <w:r>
              <w:rPr>
                <w:color w:val="auto"/>
                <w:sz w:val="20"/>
                <w:lang w:val="en-US" w:eastAsia="zh-CN"/>
                <w:szCs w:val="20"/>
                <w:rFonts w:ascii="仿宋_GB2312" w:hAnsi="仿宋_GB2312" w:eastAsia="仿宋_GB2312" w:cs="仿宋_GB2312" w:hint="eastAsia"/>
              </w:rPr>
              <w:t>中华人民共和国</w:t>
            </w:r>
            <w:r>
              <w:rPr>
                <w:color w:val="auto"/>
                <w:sz w:val="20"/>
                <w:szCs w:val="20"/>
                <w:rFonts w:ascii="仿宋_GB2312" w:hAnsi="仿宋_GB2312" w:eastAsia="仿宋_GB2312" w:cs="仿宋_GB2312" w:hint="eastAsia"/>
              </w:rPr>
              <w:t>动物防疫法》</w:t>
            </w:r>
            <w:r>
              <w:rPr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  <w:t>。</w:t>
            </w:r>
          </w:p>
        </w:tc>
        <w:tc>
          <w:tcPr>
            <w:tcW w:w="1410" w:type="dxa"/>
            <w:vAlign w:val="center"/>
          </w:tcPr>
          <w:p w14:paraId="75C86604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center"/>
              <w:spacing w:line="280" w:lineRule="exact"/>
              <w:rPr>
                <w:vertAlign w:val="baseline"/>
                <w:color w:val="auto"/>
                <w:sz w:val="20"/>
                <w:szCs w:val="20"/>
                <w:rFonts w:ascii="仿宋_GB2312" w:hAnsi="仿宋_GB2312" w:eastAsia="仿宋_GB2312" w:cs="仿宋_GB2312" w:hint="eastAsia"/>
              </w:rPr>
            </w:pPr>
            <w:r>
              <w:rPr>
                <w:vertAlign w:val="baseline"/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  <w:t>待上级部门统一规定</w:t>
            </w:r>
          </w:p>
        </w:tc>
        <w:tc>
          <w:tcPr>
            <w:tcW w:w="2190" w:type="dxa"/>
            <w:vAlign w:val="center"/>
          </w:tcPr>
          <w:p w14:paraId="15FF4316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center"/>
              <w:spacing w:line="280" w:lineRule="exact"/>
              <w:rPr>
                <w:vertAlign w:val="baseline"/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</w:pPr>
            <w:r>
              <w:rPr>
                <w:vertAlign w:val="baseline"/>
                <w:color w:val="auto"/>
                <w:sz w:val="20"/>
                <w:lang w:eastAsia="zh-CN"/>
                <w:rFonts w:ascii="仿宋_GB2312" w:hAnsi="仿宋_GB2312" w:eastAsia="仿宋_GB2312" w:cs="仿宋_GB2312" w:hint="eastAsia"/>
              </w:rPr>
              <w:t>一</w:t>
            </w:r>
            <w:r>
              <w:rPr>
                <w:vertAlign w:val="baseline"/>
                <w:color w:val="auto"/>
                <w:sz w:val="20"/>
                <w:lang w:eastAsia="zh-CN"/>
                <w:rFonts w:ascii="仿宋_GB2312" w:hAnsi="仿宋_GB2312" w:eastAsia="仿宋_GB2312" w:cs="仿宋_GB2312" w:hint="eastAsia"/>
              </w:rPr>
              <w:t>年</w:t>
            </w:r>
            <w:r>
              <w:rPr>
                <w:vertAlign w:val="baseline"/>
                <w:color w:val="auto"/>
                <w:sz w:val="20"/>
                <w:lang w:eastAsia="zh-CN"/>
                <w:rFonts w:ascii="仿宋_GB2312" w:hAnsi="仿宋_GB2312" w:eastAsia="仿宋_GB2312" w:cs="仿宋_GB2312" w:hint="eastAsia"/>
              </w:rPr>
              <w:t>两</w:t>
            </w:r>
            <w:r>
              <w:rPr>
                <w:vertAlign w:val="baseline"/>
                <w:color w:val="auto"/>
                <w:sz w:val="20"/>
                <w:lang w:eastAsia="zh-CN"/>
                <w:rFonts w:ascii="仿宋_GB2312" w:hAnsi="仿宋_GB2312" w:eastAsia="仿宋_GB2312" w:cs="仿宋_GB2312" w:hint="eastAsia"/>
              </w:rPr>
              <w:t>次</w:t>
            </w:r>
            <w:r>
              <w:rPr>
                <w:vertAlign w:val="baseline"/>
                <w:color w:val="auto"/>
                <w:sz w:val="20"/>
                <w:lang w:eastAsia="zh-CN"/>
                <w:rFonts w:ascii="仿宋_GB2312" w:hAnsi="仿宋_GB2312" w:eastAsia="仿宋_GB2312" w:cs="仿宋_GB2312" w:hint="eastAsia"/>
              </w:rPr>
              <w:t>例</w:t>
            </w:r>
            <w:r>
              <w:rPr>
                <w:vertAlign w:val="baseline"/>
                <w:color w:val="auto"/>
                <w:sz w:val="20"/>
                <w:lang w:eastAsia="zh-CN"/>
                <w:rFonts w:ascii="仿宋_GB2312" w:hAnsi="仿宋_GB2312" w:eastAsia="仿宋_GB2312" w:cs="仿宋_GB2312" w:hint="eastAsia"/>
              </w:rPr>
              <w:t>行</w:t>
            </w:r>
            <w:r>
              <w:rPr>
                <w:vertAlign w:val="baseline"/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  <w:t>检查</w:t>
            </w:r>
          </w:p>
        </w:tc>
      </w:tr>
      <w:tr w14:paraId="0BC708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c>
          <w:tcPr>
            <w:tcW w:w="855" w:type="dxa"/>
            <w:vAlign w:val="center"/>
          </w:tcPr>
          <w:p w14:paraId="5DB9C136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center"/>
              <w:spacing w:line="280" w:lineRule="exact"/>
              <w:rPr>
                <w:vertAlign w:val="baseline"/>
                <w:color w:val="auto"/>
                <w:sz w:val="20"/>
                <w:lang w:val="en-US" w:eastAsia="zh-CN"/>
                <w:szCs w:val="20"/>
                <w:rFonts w:ascii="仿宋_GB2312" w:hAnsi="仿宋_GB2312" w:eastAsia="仿宋_GB2312" w:cs="仿宋_GB2312" w:hint="eastAsia"/>
              </w:rPr>
            </w:pPr>
            <w:r>
              <w:rPr>
                <w:vertAlign w:val="baseline"/>
                <w:color w:val="auto"/>
                <w:sz w:val="20"/>
                <w:lang w:val="en-US" w:eastAsia="zh-CN"/>
                <w:szCs w:val="20"/>
                <w:rFonts w:ascii="仿宋_GB2312" w:hAnsi="仿宋_GB2312" w:eastAsia="仿宋_GB2312" w:cs="仿宋_GB2312" w:hint="eastAsia"/>
              </w:rPr>
              <w:t>4</w:t>
            </w:r>
          </w:p>
        </w:tc>
        <w:tc>
          <w:tcPr>
            <w:tcW w:w="1225" w:type="dxa"/>
            <w:vAlign w:val="center"/>
          </w:tcPr>
          <w:p w14:paraId="17165ECF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center"/>
              <w:spacing w:line="280" w:lineRule="exact"/>
              <w:rPr>
                <w:vertAlign w:val="baseline"/>
                <w:color w:val="auto"/>
                <w:sz w:val="20"/>
                <w:szCs w:val="20"/>
                <w:rFonts w:ascii="仿宋_GB2312" w:hAnsi="仿宋_GB2312" w:eastAsia="仿宋_GB2312" w:cs="仿宋_GB2312" w:hint="eastAsia"/>
              </w:rPr>
            </w:pPr>
            <w:r>
              <w:rPr>
                <w:vertAlign w:val="baseline"/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  <w:t>天门市农业农村局</w:t>
            </w:r>
          </w:p>
        </w:tc>
        <w:tc>
          <w:tcPr>
            <w:tcW w:w="1210" w:type="dxa"/>
            <w:vAlign w:val="center"/>
          </w:tcPr>
          <w:p w14:paraId="4B41AF1E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center"/>
              <w:spacing w:line="240" w:lineRule="exact"/>
              <w:rPr>
                <w:vertAlign w:val="baseline"/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</w:pPr>
            <w:r>
              <w:rPr>
                <w:vertAlign w:val="baseline"/>
                <w:color w:val="auto"/>
                <w:sz w:val="20"/>
                <w:lang w:eastAsia="zh-CN"/>
                <w:rFonts w:ascii="仿宋_GB2312" w:hAnsi="仿宋_GB2312" w:eastAsia="仿宋_GB2312" w:cs="仿宋_GB2312" w:hint="eastAsia"/>
              </w:rPr>
              <w:t>天门市农业农村局</w:t>
            </w:r>
          </w:p>
        </w:tc>
        <w:tc>
          <w:tcPr>
            <w:tcW w:w="6860" w:type="dxa"/>
            <w:vAlign w:val="center"/>
            <w:shd w:val="clear" w:color="auto" w:fill="auto"/>
          </w:tcPr>
          <w:p w14:paraId="46C9004C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both"/>
              <w:spacing w:line="280" w:lineRule="exact"/>
              <w:rPr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</w:pPr>
            <w:r>
              <w:rPr>
                <w:color w:val="auto"/>
                <w:sz w:val="20"/>
                <w:lang w:eastAsia="zh-CN"/>
                <w:szCs w:val="20"/>
                <w:rFonts w:ascii="黑体" w:hAnsi="黑体" w:eastAsia="黑体" w:cs="黑体" w:hint="eastAsia"/>
              </w:rPr>
              <w:t>事项：</w:t>
            </w:r>
            <w:r>
              <w:rPr>
                <w:color w:val="auto"/>
                <w:sz w:val="20"/>
                <w:rFonts w:ascii="仿宋_GB2312" w:hAnsi="仿宋_GB2312" w:eastAsia="仿宋_GB2312" w:cs="仿宋_GB2312" w:hint="eastAsia"/>
              </w:rPr>
              <w:t>饲料生产经营</w:t>
            </w:r>
            <w:r>
              <w:rPr>
                <w:color w:val="auto"/>
                <w:sz w:val="20"/>
                <w:rFonts w:ascii="仿宋_GB2312" w:hAnsi="仿宋_GB2312" w:eastAsia="仿宋_GB2312" w:cs="仿宋_GB2312" w:hint="eastAsia"/>
              </w:rPr>
              <w:t>企</w:t>
            </w:r>
            <w:r>
              <w:rPr>
                <w:color w:val="auto"/>
                <w:sz w:val="20"/>
                <w:rFonts w:ascii="仿宋_GB2312" w:hAnsi="仿宋_GB2312" w:eastAsia="仿宋_GB2312" w:cs="仿宋_GB2312" w:hint="eastAsia"/>
              </w:rPr>
              <w:t>业</w:t>
            </w:r>
            <w:r>
              <w:rPr>
                <w:color w:val="auto"/>
                <w:sz w:val="20"/>
                <w:rFonts w:ascii="仿宋_GB2312" w:hAnsi="仿宋_GB2312" w:eastAsia="仿宋_GB2312" w:cs="仿宋_GB2312" w:hint="eastAsia"/>
              </w:rPr>
              <w:t>质</w:t>
            </w:r>
            <w:r>
              <w:rPr>
                <w:color w:val="auto"/>
                <w:sz w:val="20"/>
                <w:rFonts w:ascii="仿宋_GB2312" w:hAnsi="仿宋_GB2312" w:eastAsia="仿宋_GB2312" w:cs="仿宋_GB2312" w:hint="eastAsia"/>
              </w:rPr>
              <w:t>量</w:t>
            </w:r>
            <w:r>
              <w:rPr>
                <w:color w:val="auto"/>
                <w:sz w:val="20"/>
                <w:rFonts w:ascii="仿宋_GB2312" w:hAnsi="仿宋_GB2312" w:eastAsia="仿宋_GB2312" w:cs="仿宋_GB2312" w:hint="eastAsia"/>
              </w:rPr>
              <w:t>管</w:t>
            </w:r>
            <w:r>
              <w:rPr>
                <w:color w:val="auto"/>
                <w:sz w:val="20"/>
                <w:rFonts w:ascii="仿宋_GB2312" w:hAnsi="仿宋_GB2312" w:eastAsia="仿宋_GB2312" w:cs="仿宋_GB2312" w:hint="eastAsia"/>
              </w:rPr>
              <w:t>理</w:t>
            </w:r>
            <w:r>
              <w:rPr>
                <w:color w:val="auto"/>
                <w:sz w:val="20"/>
                <w:rFonts w:ascii="仿宋_GB2312" w:hAnsi="仿宋_GB2312" w:eastAsia="仿宋_GB2312" w:cs="仿宋_GB2312" w:hint="eastAsia"/>
              </w:rPr>
              <w:t>规</w:t>
            </w:r>
            <w:r>
              <w:rPr>
                <w:color w:val="auto"/>
                <w:sz w:val="20"/>
                <w:rFonts w:ascii="仿宋_GB2312" w:hAnsi="仿宋_GB2312" w:eastAsia="仿宋_GB2312" w:cs="仿宋_GB2312" w:hint="eastAsia"/>
              </w:rPr>
              <w:t>范</w:t>
            </w:r>
            <w:r>
              <w:rPr>
                <w:color w:val="auto"/>
                <w:sz w:val="20"/>
                <w:szCs w:val="20"/>
                <w:rFonts w:ascii="仿宋_GB2312" w:hAnsi="仿宋_GB2312" w:eastAsia="仿宋_GB2312" w:cs="仿宋_GB2312" w:hint="eastAsia"/>
              </w:rPr>
              <w:t>执行情况</w:t>
            </w:r>
            <w:r>
              <w:rPr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  <w:t>。</w:t>
            </w:r>
          </w:p>
          <w:p w14:paraId="0D231CE0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both"/>
              <w:spacing w:line="280" w:lineRule="exact"/>
              <w:rPr>
                <w:color w:val="auto"/>
                <w:sz w:val="20"/>
                <w:lang w:val="en-US" w:eastAsia="zh-CN"/>
                <w:szCs w:val="20"/>
                <w:rFonts w:ascii="仿宋_GB2312" w:hAnsi="仿宋_GB2312" w:eastAsia="仿宋_GB2312" w:cs="仿宋_GB2312" w:hint="eastAsia"/>
              </w:rPr>
            </w:pPr>
            <w:r>
              <w:rPr>
                <w:color w:val="auto"/>
                <w:sz w:val="20"/>
                <w:lang w:eastAsia="zh-CN"/>
                <w:szCs w:val="20"/>
                <w:rFonts w:ascii="黑体" w:hAnsi="黑体" w:eastAsia="黑体" w:cs="黑体" w:hint="eastAsia"/>
              </w:rPr>
              <w:t>依据：</w:t>
            </w:r>
            <w:r>
              <w:rPr>
                <w:color w:val="auto"/>
                <w:sz w:val="20"/>
                <w:szCs w:val="20"/>
                <w:rFonts w:ascii="仿宋_GB2312" w:hAnsi="仿宋_GB2312" w:eastAsia="仿宋_GB2312" w:cs="仿宋_GB2312" w:hint="eastAsia"/>
              </w:rPr>
              <w:t>《饲料和饲料添加剂管理条例》</w:t>
            </w:r>
            <w:r>
              <w:rPr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  <w:t>。</w:t>
            </w:r>
          </w:p>
        </w:tc>
        <w:tc>
          <w:tcPr>
            <w:tcW w:w="1410" w:type="dxa"/>
            <w:vAlign w:val="center"/>
          </w:tcPr>
          <w:p w14:paraId="07663B36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center"/>
              <w:spacing w:line="280" w:lineRule="exact"/>
              <w:rPr>
                <w:vertAlign w:val="baseline"/>
                <w:color w:val="auto"/>
                <w:sz w:val="20"/>
                <w:szCs w:val="20"/>
                <w:rFonts w:ascii="仿宋_GB2312" w:hAnsi="仿宋_GB2312" w:eastAsia="仿宋_GB2312" w:cs="仿宋_GB2312" w:hint="eastAsia"/>
              </w:rPr>
            </w:pPr>
            <w:r>
              <w:rPr>
                <w:vertAlign w:val="baseline"/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  <w:t>待上级部门统一规定</w:t>
            </w:r>
          </w:p>
        </w:tc>
        <w:tc>
          <w:tcPr>
            <w:tcW w:w="2190" w:type="dxa"/>
            <w:vAlign w:val="center"/>
          </w:tcPr>
          <w:p w14:paraId="47E69C46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center"/>
              <w:spacing w:line="280" w:lineRule="exact"/>
              <w:rPr>
                <w:vertAlign w:val="baseline"/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</w:pPr>
            <w:r>
              <w:rPr>
                <w:vertAlign w:val="baseline"/>
                <w:color w:val="auto"/>
                <w:sz w:val="20"/>
                <w:lang w:eastAsia="zh-CN"/>
                <w:rFonts w:ascii="仿宋_GB2312" w:hAnsi="仿宋_GB2312" w:eastAsia="仿宋_GB2312" w:cs="仿宋_GB2312" w:hint="eastAsia"/>
              </w:rPr>
              <w:t>一</w:t>
            </w:r>
            <w:r>
              <w:rPr>
                <w:vertAlign w:val="baseline"/>
                <w:color w:val="auto"/>
                <w:sz w:val="20"/>
                <w:lang w:eastAsia="zh-CN"/>
                <w:rFonts w:ascii="仿宋_GB2312" w:hAnsi="仿宋_GB2312" w:eastAsia="仿宋_GB2312" w:cs="仿宋_GB2312" w:hint="eastAsia"/>
              </w:rPr>
              <w:t>年</w:t>
            </w:r>
            <w:r>
              <w:rPr>
                <w:vertAlign w:val="baseline"/>
                <w:color w:val="auto"/>
                <w:sz w:val="20"/>
                <w:lang w:eastAsia="zh-CN"/>
                <w:rFonts w:ascii="仿宋_GB2312" w:hAnsi="仿宋_GB2312" w:eastAsia="仿宋_GB2312" w:cs="仿宋_GB2312" w:hint="eastAsia"/>
              </w:rPr>
              <w:t>两</w:t>
            </w:r>
            <w:r>
              <w:rPr>
                <w:vertAlign w:val="baseline"/>
                <w:color w:val="auto"/>
                <w:sz w:val="20"/>
                <w:lang w:eastAsia="zh-CN"/>
                <w:rFonts w:ascii="仿宋_GB2312" w:hAnsi="仿宋_GB2312" w:eastAsia="仿宋_GB2312" w:cs="仿宋_GB2312" w:hint="eastAsia"/>
              </w:rPr>
              <w:t>次</w:t>
            </w:r>
            <w:r>
              <w:rPr>
                <w:vertAlign w:val="baseline"/>
                <w:color w:val="auto"/>
                <w:sz w:val="20"/>
                <w:lang w:eastAsia="zh-CN"/>
                <w:rFonts w:ascii="仿宋_GB2312" w:hAnsi="仿宋_GB2312" w:eastAsia="仿宋_GB2312" w:cs="仿宋_GB2312" w:hint="eastAsia"/>
              </w:rPr>
              <w:t>例</w:t>
            </w:r>
            <w:r>
              <w:rPr>
                <w:vertAlign w:val="baseline"/>
                <w:color w:val="auto"/>
                <w:sz w:val="20"/>
                <w:lang w:eastAsia="zh-CN"/>
                <w:rFonts w:ascii="仿宋_GB2312" w:hAnsi="仿宋_GB2312" w:eastAsia="仿宋_GB2312" w:cs="仿宋_GB2312" w:hint="eastAsia"/>
              </w:rPr>
              <w:t>行</w:t>
            </w:r>
            <w:r>
              <w:rPr>
                <w:vertAlign w:val="baseline"/>
                <w:color w:val="auto"/>
                <w:sz w:val="20"/>
                <w:lang w:eastAsia="zh-CN"/>
                <w:rFonts w:ascii="仿宋_GB2312" w:hAnsi="仿宋_GB2312" w:eastAsia="仿宋_GB2312" w:cs="仿宋_GB2312" w:hint="eastAsia"/>
              </w:rPr>
              <w:t>检查</w:t>
            </w:r>
          </w:p>
        </w:tc>
      </w:tr>
      <w:tr w14:paraId="327EA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c>
          <w:tcPr>
            <w:tcW w:w="855" w:type="dxa"/>
            <w:vAlign w:val="center"/>
          </w:tcPr>
          <w:p w14:paraId="316BC6D1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center"/>
              <w:spacing w:line="280" w:lineRule="exact"/>
              <w:rPr>
                <w:vertAlign w:val="baseline"/>
                <w:color w:val="auto"/>
                <w:sz w:val="20"/>
                <w:lang w:val="en-US" w:eastAsia="zh-CN"/>
                <w:szCs w:val="20"/>
                <w:rFonts w:ascii="仿宋_GB2312" w:hAnsi="仿宋_GB2312" w:eastAsia="仿宋_GB2312" w:cs="仿宋_GB2312" w:hint="eastAsia"/>
              </w:rPr>
            </w:pPr>
            <w:r>
              <w:rPr>
                <w:vertAlign w:val="baseline"/>
                <w:color w:val="auto"/>
                <w:sz w:val="20"/>
                <w:lang w:val="en-US" w:eastAsia="zh-CN"/>
                <w:szCs w:val="20"/>
                <w:rFonts w:ascii="仿宋_GB2312" w:hAnsi="仿宋_GB2312" w:eastAsia="仿宋_GB2312" w:cs="仿宋_GB2312" w:hint="eastAsia"/>
              </w:rPr>
              <w:t>5</w:t>
            </w:r>
          </w:p>
        </w:tc>
        <w:tc>
          <w:tcPr>
            <w:tcW w:w="1225" w:type="dxa"/>
            <w:vAlign w:val="center"/>
          </w:tcPr>
          <w:p w14:paraId="275BED3D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center"/>
              <w:spacing w:line="280" w:lineRule="exact"/>
              <w:rPr>
                <w:vertAlign w:val="baseline"/>
                <w:color w:val="auto"/>
                <w:sz w:val="20"/>
                <w:szCs w:val="20"/>
                <w:rFonts w:ascii="仿宋_GB2312" w:hAnsi="仿宋_GB2312" w:eastAsia="仿宋_GB2312" w:cs="仿宋_GB2312" w:hint="eastAsia"/>
              </w:rPr>
            </w:pPr>
            <w:r>
              <w:rPr>
                <w:vertAlign w:val="baseline"/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  <w:t>天门市农业农村局</w:t>
            </w:r>
          </w:p>
        </w:tc>
        <w:tc>
          <w:tcPr>
            <w:tcW w:w="1210" w:type="dxa"/>
            <w:vAlign w:val="center"/>
          </w:tcPr>
          <w:p w14:paraId="06EC036B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center"/>
              <w:spacing w:line="240" w:lineRule="exact"/>
              <w:rPr>
                <w:vertAlign w:val="baseline"/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</w:pPr>
            <w:r>
              <w:rPr>
                <w:vertAlign w:val="baseline"/>
                <w:color w:val="auto"/>
                <w:sz w:val="20"/>
                <w:lang w:eastAsia="zh-CN"/>
                <w:rFonts w:ascii="仿宋_GB2312" w:hAnsi="仿宋_GB2312" w:eastAsia="仿宋_GB2312" w:cs="仿宋_GB2312" w:hint="eastAsia"/>
              </w:rPr>
              <w:t>天门市农业农村局</w:t>
            </w:r>
          </w:p>
        </w:tc>
        <w:tc>
          <w:tcPr>
            <w:tcW w:w="6860" w:type="dxa"/>
            <w:vAlign w:val="center"/>
            <w:shd w:val="clear" w:color="auto" w:fill="auto"/>
          </w:tcPr>
          <w:p w14:paraId="27DE78B3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both"/>
              <w:spacing w:line="280" w:lineRule="exact"/>
              <w:rPr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</w:pPr>
            <w:r>
              <w:rPr>
                <w:color w:val="auto"/>
                <w:sz w:val="20"/>
                <w:lang w:eastAsia="zh-CN"/>
                <w:szCs w:val="20"/>
                <w:rFonts w:ascii="黑体" w:hAnsi="黑体" w:eastAsia="黑体" w:cs="黑体" w:hint="eastAsia"/>
              </w:rPr>
              <w:t>事项：</w:t>
            </w:r>
            <w:r>
              <w:rPr>
                <w:color w:val="auto"/>
                <w:sz w:val="20"/>
                <w:szCs w:val="20"/>
                <w:rFonts w:ascii="仿宋_GB2312" w:hAnsi="仿宋_GB2312" w:eastAsia="仿宋_GB2312" w:cs="仿宋_GB2312" w:hint="eastAsia"/>
              </w:rPr>
              <w:t>兽药</w:t>
            </w:r>
            <w:r>
              <w:rPr>
                <w:color w:val="auto"/>
                <w:sz w:val="20"/>
                <w:lang w:val="en-US" w:eastAsia="zh-CN"/>
                <w:szCs w:val="20"/>
                <w:rFonts w:ascii="仿宋_GB2312" w:hAnsi="仿宋_GB2312" w:eastAsia="仿宋_GB2312" w:cs="仿宋_GB2312" w:hint="eastAsia"/>
              </w:rPr>
              <w:t>生产</w:t>
            </w:r>
            <w:r>
              <w:rPr>
                <w:color w:val="auto"/>
                <w:sz w:val="20"/>
                <w:rFonts w:ascii="仿宋_GB2312" w:hAnsi="仿宋_GB2312" w:eastAsia="仿宋_GB2312" w:cs="仿宋_GB2312" w:hint="eastAsia"/>
              </w:rPr>
              <w:t>经营</w:t>
            </w:r>
            <w:r>
              <w:rPr>
                <w:color w:val="auto"/>
                <w:sz w:val="20"/>
                <w:rFonts w:ascii="仿宋_GB2312" w:hAnsi="仿宋_GB2312" w:eastAsia="仿宋_GB2312" w:cs="仿宋_GB2312" w:hint="eastAsia"/>
              </w:rPr>
              <w:t>企</w:t>
            </w:r>
            <w:r>
              <w:rPr>
                <w:color w:val="auto"/>
                <w:sz w:val="20"/>
                <w:rFonts w:ascii="仿宋_GB2312" w:hAnsi="仿宋_GB2312" w:eastAsia="仿宋_GB2312" w:cs="仿宋_GB2312" w:hint="eastAsia"/>
              </w:rPr>
              <w:t>业</w:t>
            </w:r>
            <w:r>
              <w:rPr>
                <w:color w:val="auto"/>
                <w:sz w:val="20"/>
                <w:rFonts w:ascii="仿宋_GB2312" w:hAnsi="仿宋_GB2312" w:eastAsia="仿宋_GB2312" w:cs="仿宋_GB2312" w:hint="eastAsia"/>
              </w:rPr>
              <w:t>质量</w:t>
            </w:r>
            <w:r>
              <w:rPr>
                <w:color w:val="auto"/>
                <w:sz w:val="20"/>
                <w:rFonts w:ascii="仿宋_GB2312" w:hAnsi="仿宋_GB2312" w:eastAsia="仿宋_GB2312" w:cs="仿宋_GB2312" w:hint="eastAsia"/>
              </w:rPr>
              <w:t>管理</w:t>
            </w:r>
            <w:r>
              <w:rPr>
                <w:color w:val="auto"/>
                <w:sz w:val="20"/>
                <w:rFonts w:ascii="仿宋_GB2312" w:hAnsi="仿宋_GB2312" w:eastAsia="仿宋_GB2312" w:cs="仿宋_GB2312" w:hint="eastAsia"/>
              </w:rPr>
              <w:t>规</w:t>
            </w:r>
            <w:r>
              <w:rPr>
                <w:color w:val="auto"/>
                <w:sz w:val="20"/>
                <w:rFonts w:ascii="仿宋_GB2312" w:hAnsi="仿宋_GB2312" w:eastAsia="仿宋_GB2312" w:cs="仿宋_GB2312" w:hint="eastAsia"/>
              </w:rPr>
              <w:t>范</w:t>
            </w:r>
            <w:r>
              <w:rPr>
                <w:color w:val="auto"/>
                <w:sz w:val="20"/>
                <w:szCs w:val="20"/>
                <w:rFonts w:ascii="仿宋_GB2312" w:hAnsi="仿宋_GB2312" w:eastAsia="仿宋_GB2312" w:cs="仿宋_GB2312" w:hint="eastAsia"/>
              </w:rPr>
              <w:t>执行情况</w:t>
            </w:r>
            <w:r>
              <w:rPr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  <w:t>。</w:t>
            </w:r>
          </w:p>
          <w:p w14:paraId="3BCB3F24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both"/>
              <w:spacing w:line="280" w:lineRule="exact"/>
              <w:rPr>
                <w:color w:val="auto"/>
                <w:sz w:val="20"/>
                <w:lang w:val="en-US" w:eastAsia="zh-CN"/>
                <w:szCs w:val="20"/>
                <w:rFonts w:ascii="仿宋_GB2312" w:hAnsi="仿宋_GB2312" w:eastAsia="仿宋_GB2312" w:cs="仿宋_GB2312" w:hint="eastAsia"/>
              </w:rPr>
            </w:pPr>
            <w:r>
              <w:rPr>
                <w:color w:val="auto"/>
                <w:sz w:val="20"/>
                <w:lang w:eastAsia="zh-CN"/>
                <w:szCs w:val="20"/>
                <w:rFonts w:ascii="黑体" w:hAnsi="黑体" w:eastAsia="黑体" w:cs="黑体" w:hint="eastAsia"/>
              </w:rPr>
              <w:t>依据：</w:t>
            </w:r>
            <w:r>
              <w:rPr>
                <w:color w:val="auto"/>
                <w:sz w:val="20"/>
                <w:szCs w:val="20"/>
                <w:rFonts w:ascii="仿宋_GB2312" w:hAnsi="仿宋_GB2312" w:eastAsia="仿宋_GB2312" w:cs="仿宋_GB2312" w:hint="eastAsia"/>
              </w:rPr>
              <w:t>《兽药管理条例》</w:t>
            </w:r>
            <w:r>
              <w:rPr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  <w:t>。</w:t>
            </w:r>
          </w:p>
        </w:tc>
        <w:tc>
          <w:tcPr>
            <w:tcW w:w="1410" w:type="dxa"/>
            <w:vAlign w:val="center"/>
          </w:tcPr>
          <w:p w14:paraId="13E1091E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center"/>
              <w:spacing w:line="280" w:lineRule="exact"/>
              <w:rPr>
                <w:vertAlign w:val="baseline"/>
                <w:color w:val="auto"/>
                <w:sz w:val="20"/>
                <w:szCs w:val="20"/>
                <w:rFonts w:ascii="仿宋_GB2312" w:hAnsi="仿宋_GB2312" w:eastAsia="仿宋_GB2312" w:cs="仿宋_GB2312" w:hint="eastAsia"/>
              </w:rPr>
            </w:pPr>
            <w:r>
              <w:rPr>
                <w:vertAlign w:val="baseline"/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  <w:t>待上级部门统一规定</w:t>
            </w:r>
          </w:p>
        </w:tc>
        <w:tc>
          <w:tcPr>
            <w:tcW w:w="2190" w:type="dxa"/>
            <w:vAlign w:val="center"/>
          </w:tcPr>
          <w:p w14:paraId="67CD2495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center"/>
              <w:spacing w:line="280" w:lineRule="exact"/>
              <w:rPr>
                <w:vertAlign w:val="baseline"/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</w:pPr>
            <w:r>
              <w:rPr>
                <w:vertAlign w:val="baseline"/>
                <w:color w:val="auto"/>
                <w:sz w:val="20"/>
                <w:lang w:eastAsia="zh-CN"/>
                <w:rFonts w:ascii="仿宋_GB2312" w:hAnsi="仿宋_GB2312" w:eastAsia="仿宋_GB2312" w:cs="仿宋_GB2312" w:hint="eastAsia"/>
              </w:rPr>
              <w:t>一</w:t>
            </w:r>
            <w:r>
              <w:rPr>
                <w:vertAlign w:val="baseline"/>
                <w:color w:val="auto"/>
                <w:sz w:val="20"/>
                <w:lang w:eastAsia="zh-CN"/>
                <w:rFonts w:ascii="仿宋_GB2312" w:hAnsi="仿宋_GB2312" w:eastAsia="仿宋_GB2312" w:cs="仿宋_GB2312" w:hint="eastAsia"/>
              </w:rPr>
              <w:t>年</w:t>
            </w:r>
            <w:r>
              <w:rPr>
                <w:vertAlign w:val="baseline"/>
                <w:color w:val="auto"/>
                <w:sz w:val="20"/>
                <w:lang w:eastAsia="zh-CN"/>
                <w:rFonts w:ascii="仿宋_GB2312" w:hAnsi="仿宋_GB2312" w:eastAsia="仿宋_GB2312" w:cs="仿宋_GB2312" w:hint="eastAsia"/>
              </w:rPr>
              <w:t>两</w:t>
            </w:r>
            <w:r>
              <w:rPr>
                <w:vertAlign w:val="baseline"/>
                <w:color w:val="auto"/>
                <w:sz w:val="20"/>
                <w:lang w:eastAsia="zh-CN"/>
                <w:rFonts w:ascii="仿宋_GB2312" w:hAnsi="仿宋_GB2312" w:eastAsia="仿宋_GB2312" w:cs="仿宋_GB2312" w:hint="eastAsia"/>
              </w:rPr>
              <w:t>次</w:t>
            </w:r>
            <w:r>
              <w:rPr>
                <w:vertAlign w:val="baseline"/>
                <w:color w:val="auto"/>
                <w:sz w:val="20"/>
                <w:lang w:eastAsia="zh-CN"/>
                <w:rFonts w:ascii="仿宋_GB2312" w:hAnsi="仿宋_GB2312" w:eastAsia="仿宋_GB2312" w:cs="仿宋_GB2312" w:hint="eastAsia"/>
              </w:rPr>
              <w:t>例</w:t>
            </w:r>
            <w:r>
              <w:rPr>
                <w:vertAlign w:val="baseline"/>
                <w:color w:val="auto"/>
                <w:sz w:val="20"/>
                <w:lang w:eastAsia="zh-CN"/>
                <w:rFonts w:ascii="仿宋_GB2312" w:hAnsi="仿宋_GB2312" w:eastAsia="仿宋_GB2312" w:cs="仿宋_GB2312" w:hint="eastAsia"/>
              </w:rPr>
              <w:t>行</w:t>
            </w:r>
            <w:r>
              <w:rPr>
                <w:vertAlign w:val="baseline"/>
                <w:color w:val="auto"/>
                <w:sz w:val="20"/>
                <w:lang w:eastAsia="zh-CN"/>
                <w:rFonts w:ascii="仿宋_GB2312" w:hAnsi="仿宋_GB2312" w:eastAsia="仿宋_GB2312" w:cs="仿宋_GB2312" w:hint="eastAsia"/>
              </w:rPr>
              <w:t>检</w:t>
            </w:r>
            <w:r>
              <w:rPr>
                <w:vertAlign w:val="baseline"/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  <w:t>查</w:t>
            </w:r>
          </w:p>
        </w:tc>
      </w:tr>
      <w:tr w14:paraId="41DD7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c>
          <w:tcPr>
            <w:tcW w:w="855" w:type="dxa"/>
            <w:vAlign w:val="center"/>
          </w:tcPr>
          <w:p w14:paraId="21F1FDDE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center"/>
              <w:spacing w:line="280" w:lineRule="exact"/>
              <w:rPr>
                <w:vertAlign w:val="baseline"/>
                <w:color w:val="auto"/>
                <w:sz w:val="20"/>
                <w:lang w:val="en-US" w:eastAsia="zh-CN"/>
                <w:szCs w:val="20"/>
                <w:rFonts w:ascii="仿宋_GB2312" w:hAnsi="仿宋_GB2312" w:eastAsia="仿宋_GB2312" w:cs="仿宋_GB2312" w:hint="eastAsia"/>
              </w:rPr>
            </w:pPr>
            <w:r>
              <w:rPr>
                <w:vertAlign w:val="baseline"/>
                <w:color w:val="auto"/>
                <w:sz w:val="20"/>
                <w:lang w:val="en-US" w:eastAsia="zh-CN"/>
                <w:szCs w:val="20"/>
                <w:rFonts w:ascii="仿宋_GB2312" w:hAnsi="仿宋_GB2312" w:eastAsia="仿宋_GB2312" w:cs="仿宋_GB2312" w:hint="eastAsia"/>
              </w:rPr>
              <w:t>6</w:t>
            </w:r>
          </w:p>
        </w:tc>
        <w:tc>
          <w:tcPr>
            <w:tcW w:w="1225" w:type="dxa"/>
            <w:vAlign w:val="center"/>
          </w:tcPr>
          <w:p w14:paraId="0CB0EA7B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center"/>
              <w:spacing w:line="280" w:lineRule="exact"/>
              <w:rPr>
                <w:vertAlign w:val="baseline"/>
                <w:color w:val="auto"/>
                <w:sz w:val="20"/>
                <w:szCs w:val="20"/>
                <w:rFonts w:ascii="仿宋_GB2312" w:hAnsi="仿宋_GB2312" w:eastAsia="仿宋_GB2312" w:cs="仿宋_GB2312" w:hint="eastAsia"/>
              </w:rPr>
            </w:pPr>
            <w:r>
              <w:rPr>
                <w:vertAlign w:val="baseline"/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  <w:t>天门市农业农村局</w:t>
            </w:r>
          </w:p>
        </w:tc>
        <w:tc>
          <w:tcPr>
            <w:tcW w:w="1210" w:type="dxa"/>
            <w:vAlign w:val="center"/>
          </w:tcPr>
          <w:p w14:paraId="7F1DBB5D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center"/>
              <w:spacing w:line="240" w:lineRule="exact"/>
              <w:rPr>
                <w:vertAlign w:val="baseline"/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</w:pPr>
            <w:r>
              <w:rPr>
                <w:vertAlign w:val="baseline"/>
                <w:color w:val="auto"/>
                <w:sz w:val="20"/>
                <w:lang w:eastAsia="zh-CN"/>
                <w:rFonts w:ascii="仿宋_GB2312" w:hAnsi="仿宋_GB2312" w:eastAsia="仿宋_GB2312" w:cs="仿宋_GB2312" w:hint="eastAsia"/>
              </w:rPr>
              <w:t>天门市农业农村局</w:t>
            </w:r>
          </w:p>
        </w:tc>
        <w:tc>
          <w:tcPr>
            <w:tcW w:w="6860" w:type="dxa"/>
            <w:vAlign w:val="center"/>
            <w:shd w:val="clear" w:color="auto" w:fill="auto"/>
          </w:tcPr>
          <w:p w14:paraId="5157F77B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both"/>
              <w:spacing w:line="280" w:lineRule="exact"/>
              <w:rPr>
                <w:color w:val="auto"/>
                <w:sz w:val="20"/>
                <w:lang w:val="en-US" w:eastAsia="zh-CN"/>
                <w:szCs w:val="20"/>
                <w:rFonts w:ascii="仿宋_GB2312" w:hAnsi="仿宋_GB2312" w:eastAsia="黑体" w:cs="仿宋_GB2312" w:hint="default"/>
              </w:rPr>
            </w:pPr>
            <w:r>
              <w:rPr>
                <w:color w:val="auto"/>
                <w:sz w:val="20"/>
                <w:lang w:eastAsia="zh-CN"/>
                <w:szCs w:val="20"/>
                <w:rFonts w:ascii="黑体" w:hAnsi="黑体" w:eastAsia="黑体" w:cs="黑体" w:hint="eastAsia"/>
              </w:rPr>
              <w:t>事项：</w:t>
            </w:r>
            <w:r>
              <w:rPr>
                <w:color w:val="auto"/>
                <w:sz w:val="20"/>
                <w:lang w:val="en-US" w:eastAsia="zh-CN"/>
                <w:rFonts w:ascii="仿宋_GB2312" w:hAnsi="仿宋_GB2312" w:eastAsia="仿宋_GB2312" w:cs="仿宋_GB2312" w:hint="eastAsia"/>
              </w:rPr>
              <w:t>农药生产经营</w:t>
            </w:r>
            <w:r>
              <w:rPr>
                <w:color w:val="auto"/>
                <w:sz w:val="20"/>
                <w:lang w:val="en-US" w:eastAsia="zh-CN"/>
                <w:rFonts w:ascii="仿宋_GB2312" w:hAnsi="仿宋_GB2312" w:eastAsia="仿宋_GB2312" w:cs="仿宋_GB2312" w:hint="eastAsia"/>
              </w:rPr>
              <w:t>企</w:t>
            </w:r>
            <w:r>
              <w:rPr>
                <w:color w:val="auto"/>
                <w:sz w:val="20"/>
                <w:lang w:val="en-US" w:eastAsia="zh-CN"/>
                <w:rFonts w:ascii="仿宋_GB2312" w:hAnsi="仿宋_GB2312" w:eastAsia="仿宋_GB2312" w:cs="仿宋_GB2312" w:hint="eastAsia"/>
              </w:rPr>
              <w:t>业</w:t>
            </w:r>
            <w:r>
              <w:rPr>
                <w:color w:val="auto"/>
                <w:sz w:val="20"/>
                <w:lang w:val="en-US" w:eastAsia="zh-CN"/>
                <w:rFonts w:ascii="仿宋_GB2312" w:hAnsi="仿宋_GB2312" w:eastAsia="仿宋_GB2312" w:cs="仿宋_GB2312" w:hint="eastAsia"/>
              </w:rPr>
              <w:t>质量</w:t>
            </w:r>
            <w:r>
              <w:rPr>
                <w:color w:val="auto"/>
                <w:sz w:val="20"/>
                <w:lang w:val="en-US" w:eastAsia="zh-CN"/>
                <w:rFonts w:ascii="仿宋_GB2312" w:hAnsi="仿宋_GB2312" w:eastAsia="仿宋_GB2312" w:cs="仿宋_GB2312" w:hint="eastAsia"/>
              </w:rPr>
              <w:t>管理</w:t>
            </w:r>
            <w:r>
              <w:rPr>
                <w:color w:val="auto"/>
                <w:sz w:val="20"/>
                <w:lang w:val="en-US" w:eastAsia="zh-CN"/>
                <w:rFonts w:ascii="仿宋_GB2312" w:hAnsi="仿宋_GB2312" w:eastAsia="仿宋_GB2312" w:cs="仿宋_GB2312" w:hint="eastAsia"/>
              </w:rPr>
              <w:t>规</w:t>
            </w:r>
            <w:r>
              <w:rPr>
                <w:color w:val="auto"/>
                <w:sz w:val="20"/>
                <w:lang w:val="en-US" w:eastAsia="zh-CN"/>
                <w:rFonts w:ascii="仿宋_GB2312" w:hAnsi="仿宋_GB2312" w:eastAsia="仿宋_GB2312" w:cs="仿宋_GB2312" w:hint="eastAsia"/>
              </w:rPr>
              <w:t>范</w:t>
            </w:r>
            <w:r>
              <w:rPr>
                <w:color w:val="auto"/>
                <w:sz w:val="20"/>
                <w:lang w:val="en-US" w:eastAsia="zh-CN"/>
                <w:szCs w:val="20"/>
                <w:rFonts w:ascii="仿宋_GB2312" w:hAnsi="仿宋_GB2312" w:eastAsia="仿宋_GB2312" w:cs="仿宋_GB2312" w:hint="eastAsia"/>
              </w:rPr>
              <w:t>执行情况。</w:t>
            </w:r>
          </w:p>
          <w:p w14:paraId="70E80433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both"/>
              <w:spacing w:line="280" w:lineRule="exact"/>
              <w:rPr>
                <w:color w:val="auto"/>
                <w:sz w:val="20"/>
                <w:lang w:val="en-US" w:eastAsia="zh-CN"/>
                <w:szCs w:val="20"/>
                <w:rFonts w:ascii="仿宋_GB2312" w:hAnsi="仿宋_GB2312" w:eastAsia="仿宋_GB2312" w:cs="仿宋_GB2312" w:hint="eastAsia"/>
              </w:rPr>
            </w:pPr>
            <w:r>
              <w:rPr>
                <w:color w:val="auto"/>
                <w:sz w:val="20"/>
                <w:lang w:eastAsia="zh-CN"/>
                <w:szCs w:val="20"/>
                <w:rFonts w:ascii="黑体" w:hAnsi="黑体" w:eastAsia="黑体" w:cs="黑体" w:hint="eastAsia"/>
              </w:rPr>
              <w:t>依据：</w:t>
            </w:r>
            <w:r>
              <w:rPr>
                <w:color w:val="auto"/>
                <w:sz w:val="20"/>
                <w:szCs w:val="20"/>
                <w:rFonts w:ascii="仿宋_GB2312" w:hAnsi="仿宋_GB2312" w:eastAsia="仿宋_GB2312" w:cs="仿宋_GB2312" w:hint="eastAsia"/>
              </w:rPr>
              <w:t>《农药管理条例》及其相关规章制度</w:t>
            </w:r>
            <w:r>
              <w:rPr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  <w:t>。</w:t>
            </w:r>
          </w:p>
        </w:tc>
        <w:tc>
          <w:tcPr>
            <w:tcW w:w="1410" w:type="dxa"/>
            <w:vAlign w:val="center"/>
          </w:tcPr>
          <w:p w14:paraId="25F35D5A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center"/>
              <w:spacing w:line="280" w:lineRule="exact"/>
              <w:rPr>
                <w:vertAlign w:val="baseline"/>
                <w:color w:val="auto"/>
                <w:sz w:val="20"/>
                <w:szCs w:val="20"/>
                <w:rFonts w:ascii="仿宋_GB2312" w:hAnsi="仿宋_GB2312" w:eastAsia="仿宋_GB2312" w:cs="仿宋_GB2312" w:hint="eastAsia"/>
              </w:rPr>
            </w:pPr>
            <w:r>
              <w:rPr>
                <w:vertAlign w:val="baseline"/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  <w:t>待上级部门统一规定</w:t>
            </w:r>
          </w:p>
        </w:tc>
        <w:tc>
          <w:tcPr>
            <w:tcW w:w="2190" w:type="dxa"/>
            <w:vAlign w:val="center"/>
          </w:tcPr>
          <w:p w14:paraId="5D4F4969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center"/>
              <w:spacing w:line="280" w:lineRule="exact"/>
              <w:rPr>
                <w:vertAlign w:val="baseline"/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</w:pPr>
            <w:r>
              <w:rPr>
                <w:vertAlign w:val="baseline"/>
                <w:color w:val="auto"/>
                <w:sz w:val="20"/>
                <w:lang w:eastAsia="zh-CN"/>
                <w:rFonts w:ascii="仿宋_GB2312" w:hAnsi="仿宋_GB2312" w:eastAsia="仿宋_GB2312" w:cs="仿宋_GB2312" w:hint="eastAsia"/>
              </w:rPr>
              <w:t>一</w:t>
            </w:r>
            <w:r>
              <w:rPr>
                <w:vertAlign w:val="baseline"/>
                <w:color w:val="auto"/>
                <w:sz w:val="20"/>
                <w:lang w:eastAsia="zh-CN"/>
                <w:rFonts w:ascii="仿宋_GB2312" w:hAnsi="仿宋_GB2312" w:eastAsia="仿宋_GB2312" w:cs="仿宋_GB2312" w:hint="eastAsia"/>
              </w:rPr>
              <w:t>年</w:t>
            </w:r>
            <w:r>
              <w:rPr>
                <w:vertAlign w:val="baseline"/>
                <w:color w:val="auto"/>
                <w:sz w:val="20"/>
                <w:lang w:eastAsia="zh-CN"/>
                <w:rFonts w:ascii="仿宋_GB2312" w:hAnsi="仿宋_GB2312" w:eastAsia="仿宋_GB2312" w:cs="仿宋_GB2312" w:hint="eastAsia"/>
              </w:rPr>
              <w:t>两</w:t>
            </w:r>
            <w:r>
              <w:rPr>
                <w:vertAlign w:val="baseline"/>
                <w:color w:val="auto"/>
                <w:sz w:val="20"/>
                <w:lang w:eastAsia="zh-CN"/>
                <w:rFonts w:ascii="仿宋_GB2312" w:hAnsi="仿宋_GB2312" w:eastAsia="仿宋_GB2312" w:cs="仿宋_GB2312" w:hint="eastAsia"/>
              </w:rPr>
              <w:t>次</w:t>
            </w:r>
            <w:r>
              <w:rPr>
                <w:vertAlign w:val="baseline"/>
                <w:color w:val="auto"/>
                <w:sz w:val="20"/>
                <w:lang w:eastAsia="zh-CN"/>
                <w:rFonts w:ascii="仿宋_GB2312" w:hAnsi="仿宋_GB2312" w:eastAsia="仿宋_GB2312" w:cs="仿宋_GB2312" w:hint="eastAsia"/>
              </w:rPr>
              <w:t>例</w:t>
            </w:r>
            <w:r>
              <w:rPr>
                <w:vertAlign w:val="baseline"/>
                <w:color w:val="auto"/>
                <w:sz w:val="20"/>
                <w:lang w:eastAsia="zh-CN"/>
                <w:rFonts w:ascii="仿宋_GB2312" w:hAnsi="仿宋_GB2312" w:eastAsia="仿宋_GB2312" w:cs="仿宋_GB2312" w:hint="eastAsia"/>
              </w:rPr>
              <w:t>行</w:t>
            </w:r>
            <w:r>
              <w:rPr>
                <w:vertAlign w:val="baseline"/>
                <w:color w:val="auto"/>
                <w:sz w:val="20"/>
                <w:lang w:eastAsia="zh-CN"/>
                <w:rFonts w:ascii="仿宋_GB2312" w:hAnsi="仿宋_GB2312" w:eastAsia="仿宋_GB2312" w:cs="仿宋_GB2312" w:hint="eastAsia"/>
              </w:rPr>
              <w:t>检</w:t>
            </w:r>
            <w:r>
              <w:rPr>
                <w:vertAlign w:val="baseline"/>
                <w:color w:val="auto"/>
                <w:sz w:val="20"/>
                <w:lang w:eastAsia="zh-CN"/>
                <w:rFonts w:ascii="仿宋_GB2312" w:hAnsi="仿宋_GB2312" w:eastAsia="仿宋_GB2312" w:cs="仿宋_GB2312" w:hint="eastAsia"/>
              </w:rPr>
              <w:t>查</w:t>
            </w:r>
          </w:p>
        </w:tc>
      </w:tr>
      <w:tr w14:paraId="675BA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c>
          <w:tcPr>
            <w:tcW w:w="855" w:type="dxa"/>
            <w:vAlign w:val="center"/>
          </w:tcPr>
          <w:p w14:paraId="0EE46BB6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center"/>
              <w:spacing w:line="280" w:lineRule="exact"/>
              <w:rPr>
                <w:vertAlign w:val="baseline"/>
                <w:color w:val="auto"/>
                <w:sz w:val="20"/>
                <w:lang w:val="en-US" w:eastAsia="zh-CN"/>
                <w:szCs w:val="20"/>
                <w:rFonts w:ascii="仿宋_GB2312" w:hAnsi="仿宋_GB2312" w:eastAsia="仿宋_GB2312" w:cs="仿宋_GB2312" w:hint="eastAsia"/>
              </w:rPr>
            </w:pPr>
            <w:r>
              <w:rPr>
                <w:vertAlign w:val="baseline"/>
                <w:color w:val="auto"/>
                <w:sz w:val="20"/>
                <w:lang w:val="en-US" w:eastAsia="zh-CN"/>
                <w:szCs w:val="20"/>
                <w:rFonts w:ascii="仿宋_GB2312" w:hAnsi="仿宋_GB2312" w:eastAsia="仿宋_GB2312" w:cs="仿宋_GB2312" w:hint="eastAsia"/>
              </w:rPr>
              <w:t>7</w:t>
            </w:r>
          </w:p>
        </w:tc>
        <w:tc>
          <w:tcPr>
            <w:tcW w:w="1225" w:type="dxa"/>
            <w:vAlign w:val="center"/>
          </w:tcPr>
          <w:p w14:paraId="58745C1E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center"/>
              <w:spacing w:line="280" w:lineRule="exact"/>
              <w:rPr>
                <w:vertAlign w:val="baseline"/>
                <w:color w:val="auto"/>
                <w:sz w:val="20"/>
                <w:szCs w:val="20"/>
                <w:rFonts w:ascii="仿宋_GB2312" w:hAnsi="仿宋_GB2312" w:eastAsia="仿宋_GB2312" w:cs="仿宋_GB2312" w:hint="eastAsia"/>
              </w:rPr>
            </w:pPr>
            <w:r>
              <w:rPr>
                <w:vertAlign w:val="baseline"/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  <w:t>天门市农业农村局</w:t>
            </w:r>
          </w:p>
        </w:tc>
        <w:tc>
          <w:tcPr>
            <w:tcW w:w="1210" w:type="dxa"/>
            <w:vAlign w:val="center"/>
          </w:tcPr>
          <w:p w14:paraId="6B638F8E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center"/>
              <w:spacing w:line="240" w:lineRule="exact"/>
              <w:rPr>
                <w:vertAlign w:val="baseline"/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</w:pPr>
            <w:r>
              <w:rPr>
                <w:vertAlign w:val="baseline"/>
                <w:color w:val="auto"/>
                <w:sz w:val="20"/>
                <w:lang w:eastAsia="zh-CN"/>
                <w:rFonts w:ascii="仿宋_GB2312" w:hAnsi="仿宋_GB2312" w:eastAsia="仿宋_GB2312" w:cs="仿宋_GB2312" w:hint="eastAsia"/>
              </w:rPr>
              <w:t>天门市农业农村局</w:t>
            </w:r>
          </w:p>
        </w:tc>
        <w:tc>
          <w:tcPr>
            <w:tcW w:w="6860" w:type="dxa"/>
            <w:vAlign w:val="center"/>
            <w:shd w:val="clear" w:color="auto" w:fill="auto"/>
          </w:tcPr>
          <w:p w14:paraId="4E2BEAE4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both"/>
              <w:spacing w:line="280" w:lineRule="exact"/>
              <w:rPr>
                <w:color w:val="auto"/>
                <w:sz w:val="20"/>
                <w:lang w:val="en-US" w:eastAsia="zh-CN"/>
                <w:szCs w:val="20"/>
                <w:rFonts w:ascii="仿宋_GB2312" w:hAnsi="仿宋_GB2312" w:eastAsia="仿宋_GB2312" w:cs="仿宋_GB2312" w:hint="default"/>
              </w:rPr>
            </w:pPr>
            <w:r>
              <w:rPr>
                <w:color w:val="auto"/>
                <w:sz w:val="20"/>
                <w:lang w:eastAsia="zh-CN"/>
                <w:szCs w:val="20"/>
                <w:rFonts w:ascii="黑体" w:hAnsi="黑体" w:eastAsia="黑体" w:cs="黑体" w:hint="eastAsia"/>
              </w:rPr>
              <w:t>事项：</w:t>
            </w:r>
            <w:r>
              <w:rPr>
                <w:color w:val="auto"/>
                <w:sz w:val="20"/>
                <w:lang w:val="en-US" w:eastAsia="zh-CN"/>
                <w:rFonts w:ascii="仿宋_GB2312" w:hAnsi="仿宋_GB2312" w:eastAsia="仿宋_GB2312" w:cs="仿宋_GB2312" w:hint="eastAsia"/>
              </w:rPr>
              <w:t>肥料生产经营</w:t>
            </w:r>
            <w:r>
              <w:rPr>
                <w:color w:val="auto"/>
                <w:sz w:val="20"/>
                <w:lang w:val="en-US" w:eastAsia="zh-CN"/>
                <w:rFonts w:ascii="仿宋_GB2312" w:hAnsi="仿宋_GB2312" w:eastAsia="仿宋_GB2312" w:cs="仿宋_GB2312" w:hint="eastAsia"/>
              </w:rPr>
              <w:t>企</w:t>
            </w:r>
            <w:r>
              <w:rPr>
                <w:color w:val="auto"/>
                <w:sz w:val="20"/>
                <w:lang w:val="en-US" w:eastAsia="zh-CN"/>
                <w:rFonts w:ascii="仿宋_GB2312" w:hAnsi="仿宋_GB2312" w:eastAsia="仿宋_GB2312" w:cs="仿宋_GB2312" w:hint="eastAsia"/>
              </w:rPr>
              <w:t>业</w:t>
            </w:r>
            <w:r>
              <w:rPr>
                <w:color w:val="auto"/>
                <w:sz w:val="20"/>
                <w:lang w:val="en-US" w:eastAsia="zh-CN"/>
                <w:rFonts w:ascii="仿宋_GB2312" w:hAnsi="仿宋_GB2312" w:eastAsia="仿宋_GB2312" w:cs="仿宋_GB2312" w:hint="eastAsia"/>
              </w:rPr>
              <w:t>质量</w:t>
            </w:r>
            <w:r>
              <w:rPr>
                <w:color w:val="auto"/>
                <w:sz w:val="20"/>
                <w:lang w:val="en-US" w:eastAsia="zh-CN"/>
                <w:rFonts w:ascii="仿宋_GB2312" w:hAnsi="仿宋_GB2312" w:eastAsia="仿宋_GB2312" w:cs="仿宋_GB2312" w:hint="eastAsia"/>
              </w:rPr>
              <w:t>管</w:t>
            </w:r>
            <w:r>
              <w:rPr>
                <w:color w:val="auto"/>
                <w:sz w:val="20"/>
                <w:lang w:val="en-US" w:eastAsia="zh-CN"/>
                <w:rFonts w:ascii="仿宋_GB2312" w:hAnsi="仿宋_GB2312" w:eastAsia="仿宋_GB2312" w:cs="仿宋_GB2312" w:hint="eastAsia"/>
              </w:rPr>
              <w:t>理</w:t>
            </w:r>
            <w:r>
              <w:rPr>
                <w:color w:val="auto"/>
                <w:sz w:val="20"/>
                <w:lang w:val="en-US" w:eastAsia="zh-CN"/>
                <w:rFonts w:ascii="仿宋_GB2312" w:hAnsi="仿宋_GB2312" w:eastAsia="仿宋_GB2312" w:cs="仿宋_GB2312" w:hint="eastAsia"/>
              </w:rPr>
              <w:t>规</w:t>
            </w:r>
            <w:r>
              <w:rPr>
                <w:color w:val="auto"/>
                <w:sz w:val="20"/>
                <w:lang w:val="en-US" w:eastAsia="zh-CN"/>
                <w:rFonts w:ascii="仿宋_GB2312" w:hAnsi="仿宋_GB2312" w:eastAsia="仿宋_GB2312" w:cs="仿宋_GB2312" w:hint="eastAsia"/>
              </w:rPr>
              <w:t>范</w:t>
            </w:r>
            <w:r>
              <w:rPr>
                <w:color w:val="auto"/>
                <w:sz w:val="20"/>
                <w:lang w:val="en-US" w:eastAsia="zh-CN"/>
                <w:szCs w:val="20"/>
                <w:rFonts w:ascii="仿宋_GB2312" w:hAnsi="仿宋_GB2312" w:eastAsia="仿宋_GB2312" w:cs="仿宋_GB2312" w:hint="eastAsia"/>
              </w:rPr>
              <w:t>执行情况。</w:t>
            </w:r>
          </w:p>
          <w:p w14:paraId="7D6FA596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both"/>
              <w:spacing w:line="280" w:lineRule="exact"/>
              <w:rPr>
                <w:color w:val="auto"/>
                <w:sz w:val="20"/>
                <w:lang w:val="en-US" w:eastAsia="zh-CN"/>
                <w:szCs w:val="20"/>
                <w:rFonts w:ascii="仿宋_GB2312" w:hAnsi="仿宋_GB2312" w:eastAsia="仿宋_GB2312" w:cs="仿宋_GB2312" w:hint="eastAsia"/>
              </w:rPr>
            </w:pPr>
            <w:r>
              <w:rPr>
                <w:color w:val="auto"/>
                <w:sz w:val="20"/>
                <w:lang w:eastAsia="zh-CN"/>
                <w:szCs w:val="20"/>
                <w:rFonts w:ascii="黑体" w:hAnsi="黑体" w:eastAsia="黑体" w:cs="黑体" w:hint="eastAsia"/>
              </w:rPr>
              <w:t>依据：</w:t>
            </w:r>
            <w:r>
              <w:rPr>
                <w:color w:val="auto"/>
                <w:sz w:val="20"/>
                <w:szCs w:val="20"/>
                <w:rFonts w:ascii="仿宋_GB2312" w:hAnsi="仿宋_GB2312" w:eastAsia="仿宋_GB2312" w:cs="仿宋_GB2312" w:hint="eastAsia"/>
              </w:rPr>
              <w:t>《肥料登记管理办法》及其相关规章制度</w:t>
            </w:r>
            <w:r>
              <w:rPr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  <w:t>。</w:t>
            </w:r>
          </w:p>
        </w:tc>
        <w:tc>
          <w:tcPr>
            <w:tcW w:w="1410" w:type="dxa"/>
            <w:vAlign w:val="center"/>
          </w:tcPr>
          <w:p w14:paraId="5EAAB18B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center"/>
              <w:spacing w:line="280" w:lineRule="exact"/>
              <w:rPr>
                <w:vertAlign w:val="baseline"/>
                <w:color w:val="auto"/>
                <w:sz w:val="20"/>
                <w:szCs w:val="20"/>
                <w:rFonts w:ascii="仿宋_GB2312" w:hAnsi="仿宋_GB2312" w:eastAsia="仿宋_GB2312" w:cs="仿宋_GB2312" w:hint="eastAsia"/>
              </w:rPr>
            </w:pPr>
            <w:r>
              <w:rPr>
                <w:vertAlign w:val="baseline"/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  <w:t>待上级部门统一规定</w:t>
            </w:r>
          </w:p>
        </w:tc>
        <w:tc>
          <w:tcPr>
            <w:tcW w:w="2190" w:type="dxa"/>
            <w:vAlign w:val="center"/>
          </w:tcPr>
          <w:p w14:paraId="62DF17D9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center"/>
              <w:spacing w:line="280" w:lineRule="exact"/>
              <w:rPr>
                <w:vertAlign w:val="baseline"/>
                <w:color w:val="auto"/>
                <w:sz w:val="20"/>
                <w:lang w:val="en-US" w:eastAsia="zh-CN"/>
                <w:szCs w:val="20"/>
                <w:rFonts w:ascii="仿宋_GB2312" w:hAnsi="仿宋_GB2312" w:eastAsia="仿宋_GB2312" w:cs="仿宋_GB2312" w:hint="default"/>
              </w:rPr>
            </w:pPr>
            <w:r>
              <w:rPr>
                <w:vertAlign w:val="baseline"/>
                <w:color w:val="auto"/>
                <w:sz w:val="20"/>
                <w:lang w:eastAsia="zh-CN"/>
                <w:rFonts w:ascii="仿宋_GB2312" w:hAnsi="仿宋_GB2312" w:eastAsia="仿宋_GB2312" w:cs="仿宋_GB2312" w:hint="eastAsia"/>
              </w:rPr>
              <w:t>一</w:t>
            </w:r>
            <w:r>
              <w:rPr>
                <w:vertAlign w:val="baseline"/>
                <w:color w:val="auto"/>
                <w:sz w:val="20"/>
                <w:lang w:eastAsia="zh-CN"/>
                <w:rFonts w:ascii="仿宋_GB2312" w:hAnsi="仿宋_GB2312" w:eastAsia="仿宋_GB2312" w:cs="仿宋_GB2312" w:hint="eastAsia"/>
              </w:rPr>
              <w:t>年</w:t>
            </w:r>
            <w:r>
              <w:rPr>
                <w:vertAlign w:val="baseline"/>
                <w:color w:val="auto"/>
                <w:sz w:val="20"/>
                <w:lang w:eastAsia="zh-CN"/>
                <w:rFonts w:ascii="仿宋_GB2312" w:hAnsi="仿宋_GB2312" w:eastAsia="仿宋_GB2312" w:cs="仿宋_GB2312" w:hint="eastAsia"/>
              </w:rPr>
              <w:t>两</w:t>
            </w:r>
            <w:r>
              <w:rPr>
                <w:vertAlign w:val="baseline"/>
                <w:color w:val="auto"/>
                <w:sz w:val="20"/>
                <w:lang w:eastAsia="zh-CN"/>
                <w:rFonts w:ascii="仿宋_GB2312" w:hAnsi="仿宋_GB2312" w:eastAsia="仿宋_GB2312" w:cs="仿宋_GB2312" w:hint="eastAsia"/>
              </w:rPr>
              <w:t>次</w:t>
            </w:r>
            <w:r>
              <w:rPr>
                <w:vertAlign w:val="baseline"/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  <w:t>例行检查</w:t>
            </w:r>
          </w:p>
        </w:tc>
      </w:tr>
      <w:tr w14:paraId="4197A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c>
          <w:tcPr>
            <w:tcW w:w="855" w:type="dxa"/>
            <w:vAlign w:val="center"/>
          </w:tcPr>
          <w:p w14:paraId="57C50B19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center"/>
              <w:spacing w:line="280" w:lineRule="exact"/>
              <w:rPr>
                <w:vertAlign w:val="baseline"/>
                <w:color w:val="auto"/>
                <w:sz w:val="20"/>
                <w:lang w:val="en-US" w:eastAsia="zh-CN"/>
                <w:szCs w:val="20"/>
                <w:rFonts w:ascii="仿宋_GB2312" w:hAnsi="仿宋_GB2312" w:eastAsia="仿宋_GB2312" w:cs="仿宋_GB2312" w:hint="default"/>
              </w:rPr>
            </w:pPr>
            <w:r>
              <w:rPr>
                <w:vertAlign w:val="baseline"/>
                <w:color w:val="auto"/>
                <w:sz w:val="20"/>
                <w:lang w:val="en-US" w:eastAsia="zh-CN"/>
                <w:szCs w:val="20"/>
                <w:rFonts w:ascii="仿宋_GB2312" w:hAnsi="仿宋_GB2312" w:eastAsia="仿宋_GB2312" w:cs="仿宋_GB2312" w:hint="eastAsia"/>
              </w:rPr>
              <w:t>8</w:t>
            </w:r>
          </w:p>
        </w:tc>
        <w:tc>
          <w:tcPr>
            <w:tcW w:w="1225" w:type="dxa"/>
            <w:vAlign w:val="center"/>
          </w:tcPr>
          <w:p w14:paraId="68F5414E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center"/>
              <w:spacing w:line="280" w:lineRule="exact"/>
              <w:rPr>
                <w:vertAlign w:val="baseline"/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</w:pPr>
            <w:r>
              <w:rPr>
                <w:vertAlign w:val="baseline"/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  <w:t>天门市农业农村局</w:t>
            </w:r>
          </w:p>
        </w:tc>
        <w:tc>
          <w:tcPr>
            <w:tcW w:w="1210" w:type="dxa"/>
            <w:vAlign w:val="center"/>
          </w:tcPr>
          <w:p w14:paraId="32914D9F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center"/>
              <w:spacing w:line="240" w:lineRule="exact"/>
              <w:rPr>
                <w:vertAlign w:val="baseline"/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</w:pPr>
            <w:r>
              <w:rPr>
                <w:vertAlign w:val="baseline"/>
                <w:color w:val="auto"/>
                <w:sz w:val="20"/>
                <w:lang w:eastAsia="zh-CN"/>
                <w:rFonts w:ascii="仿宋_GB2312" w:hAnsi="仿宋_GB2312" w:eastAsia="仿宋_GB2312" w:cs="仿宋_GB2312" w:hint="eastAsia"/>
              </w:rPr>
              <w:t>天门市农业农村局</w:t>
            </w:r>
          </w:p>
        </w:tc>
        <w:tc>
          <w:tcPr>
            <w:tcW w:w="6860" w:type="dxa"/>
            <w:vAlign w:val="center"/>
            <w:shd w:val="clear" w:color="auto" w:fill="auto"/>
          </w:tcPr>
          <w:p w14:paraId="73915BB3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both"/>
              <w:spacing w:line="280" w:lineRule="exact"/>
              <w:rPr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</w:pPr>
            <w:r>
              <w:rPr>
                <w:color w:val="auto"/>
                <w:sz w:val="20"/>
                <w:lang w:eastAsia="zh-CN"/>
                <w:szCs w:val="20"/>
                <w:rFonts w:ascii="黑体" w:hAnsi="黑体" w:eastAsia="黑体" w:cs="黑体" w:hint="eastAsia"/>
              </w:rPr>
              <w:t>事项：</w:t>
            </w:r>
            <w:r>
              <w:rPr>
                <w:color w:val="auto"/>
                <w:sz w:val="20"/>
                <w:lang w:val="en-US" w:eastAsia="zh-CN"/>
                <w:rFonts w:ascii="仿宋_GB2312" w:hAnsi="仿宋_GB2312" w:eastAsia="仿宋_GB2312" w:cs="仿宋_GB2312" w:hint="eastAsia"/>
              </w:rPr>
              <w:t>种子经营</w:t>
            </w:r>
            <w:r>
              <w:rPr>
                <w:color w:val="auto"/>
                <w:sz w:val="20"/>
                <w:lang w:val="en-US" w:eastAsia="zh-CN"/>
                <w:rFonts w:ascii="仿宋_GB2312" w:hAnsi="仿宋_GB2312" w:eastAsia="仿宋_GB2312" w:cs="仿宋_GB2312" w:hint="eastAsia"/>
              </w:rPr>
              <w:t>企</w:t>
            </w:r>
            <w:r>
              <w:rPr>
                <w:color w:val="auto"/>
                <w:sz w:val="20"/>
                <w:lang w:val="en-US" w:eastAsia="zh-CN"/>
                <w:rFonts w:ascii="仿宋_GB2312" w:hAnsi="仿宋_GB2312" w:eastAsia="仿宋_GB2312" w:cs="仿宋_GB2312" w:hint="eastAsia"/>
              </w:rPr>
              <w:t>业</w:t>
            </w:r>
            <w:r>
              <w:rPr>
                <w:color w:val="auto"/>
                <w:sz w:val="20"/>
                <w:lang w:val="en-US" w:eastAsia="zh-CN"/>
                <w:rFonts w:ascii="仿宋_GB2312" w:hAnsi="仿宋_GB2312" w:eastAsia="仿宋_GB2312" w:cs="仿宋_GB2312" w:hint="eastAsia"/>
              </w:rPr>
              <w:t>质量</w:t>
            </w:r>
            <w:r>
              <w:rPr>
                <w:color w:val="auto"/>
                <w:sz w:val="20"/>
                <w:lang w:val="en-US" w:eastAsia="zh-CN"/>
                <w:rFonts w:ascii="仿宋_GB2312" w:hAnsi="仿宋_GB2312" w:eastAsia="仿宋_GB2312" w:cs="仿宋_GB2312" w:hint="eastAsia"/>
              </w:rPr>
              <w:t>管理</w:t>
            </w:r>
            <w:r>
              <w:rPr>
                <w:color w:val="auto"/>
                <w:sz w:val="20"/>
                <w:lang w:val="en-US" w:eastAsia="zh-CN"/>
                <w:rFonts w:ascii="仿宋_GB2312" w:hAnsi="仿宋_GB2312" w:eastAsia="仿宋_GB2312" w:cs="仿宋_GB2312" w:hint="eastAsia"/>
              </w:rPr>
              <w:t>规</w:t>
            </w:r>
            <w:r>
              <w:rPr>
                <w:color w:val="auto"/>
                <w:sz w:val="20"/>
                <w:lang w:val="en-US" w:eastAsia="zh-CN"/>
                <w:rFonts w:ascii="仿宋_GB2312" w:hAnsi="仿宋_GB2312" w:eastAsia="仿宋_GB2312" w:cs="仿宋_GB2312" w:hint="eastAsia"/>
              </w:rPr>
              <w:t>范</w:t>
            </w:r>
            <w:r>
              <w:rPr>
                <w:color w:val="auto"/>
                <w:sz w:val="20"/>
                <w:lang w:val="en-US" w:eastAsia="zh-CN"/>
                <w:szCs w:val="20"/>
                <w:rFonts w:ascii="仿宋_GB2312" w:hAnsi="仿宋_GB2312" w:eastAsia="仿宋_GB2312" w:cs="仿宋_GB2312" w:hint="eastAsia"/>
              </w:rPr>
              <w:t>执行情况</w:t>
            </w:r>
            <w:r>
              <w:rPr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  <w:t>。</w:t>
            </w:r>
          </w:p>
          <w:p w14:paraId="37564BE5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both"/>
              <w:spacing w:line="280" w:lineRule="exact"/>
              <w:rPr>
                <w:color w:val="auto"/>
                <w:sz w:val="20"/>
                <w:lang w:val="en-US" w:eastAsia="zh-CN"/>
                <w:szCs w:val="20"/>
                <w:rFonts w:ascii="仿宋_GB2312" w:hAnsi="仿宋_GB2312" w:eastAsia="仿宋_GB2312" w:cs="仿宋_GB2312" w:hint="eastAsia"/>
              </w:rPr>
            </w:pPr>
            <w:r>
              <w:rPr>
                <w:color w:val="auto"/>
                <w:sz w:val="20"/>
                <w:lang w:eastAsia="zh-CN"/>
                <w:szCs w:val="20"/>
                <w:rFonts w:ascii="黑体" w:hAnsi="黑体" w:eastAsia="黑体" w:cs="黑体" w:hint="eastAsia"/>
              </w:rPr>
              <w:t>依据：</w:t>
            </w:r>
            <w:r>
              <w:rPr>
                <w:color w:val="auto"/>
                <w:sz w:val="20"/>
                <w:szCs w:val="20"/>
                <w:rFonts w:ascii="仿宋_GB2312" w:hAnsi="仿宋_GB2312" w:eastAsia="仿宋_GB2312" w:cs="仿宋_GB2312" w:hint="eastAsia"/>
              </w:rPr>
              <w:t>《</w:t>
            </w:r>
            <w:r>
              <w:rPr>
                <w:color w:val="auto"/>
                <w:sz w:val="20"/>
                <w:lang w:val="en-US" w:eastAsia="zh-CN"/>
                <w:szCs w:val="20"/>
                <w:rFonts w:ascii="仿宋_GB2312" w:hAnsi="仿宋_GB2312" w:eastAsia="仿宋_GB2312" w:cs="仿宋_GB2312" w:hint="eastAsia"/>
              </w:rPr>
              <w:t>中华人民共和国种子法</w:t>
            </w:r>
            <w:r>
              <w:rPr>
                <w:color w:val="auto"/>
                <w:sz w:val="20"/>
                <w:szCs w:val="20"/>
                <w:rFonts w:ascii="仿宋_GB2312" w:hAnsi="仿宋_GB2312" w:eastAsia="仿宋_GB2312" w:cs="仿宋_GB2312" w:hint="eastAsia"/>
              </w:rPr>
              <w:t>》</w:t>
            </w:r>
            <w:r>
              <w:rPr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  <w:t>。</w:t>
            </w:r>
          </w:p>
        </w:tc>
        <w:tc>
          <w:tcPr>
            <w:tcW w:w="1410" w:type="dxa"/>
            <w:vAlign w:val="center"/>
          </w:tcPr>
          <w:p w14:paraId="4ADFB8AF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center"/>
              <w:spacing w:line="280" w:lineRule="exact"/>
              <w:rPr>
                <w:vertAlign w:val="baseline"/>
                <w:color w:val="auto"/>
                <w:sz w:val="20"/>
                <w:szCs w:val="20"/>
                <w:rFonts w:ascii="仿宋_GB2312" w:hAnsi="仿宋_GB2312" w:eastAsia="仿宋_GB2312" w:cs="仿宋_GB2312" w:hint="eastAsia"/>
              </w:rPr>
            </w:pPr>
            <w:r>
              <w:rPr>
                <w:vertAlign w:val="baseline"/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  <w:t>待上级部门统一规定</w:t>
            </w:r>
          </w:p>
        </w:tc>
        <w:tc>
          <w:tcPr>
            <w:tcW w:w="2190" w:type="dxa"/>
            <w:vAlign w:val="center"/>
          </w:tcPr>
          <w:p w14:paraId="39AC4920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center"/>
              <w:spacing w:line="280" w:lineRule="exact"/>
              <w:rPr>
                <w:vertAlign w:val="baseline"/>
                <w:color w:val="auto"/>
                <w:sz w:val="20"/>
                <w:lang w:val="en-US"/>
                <w:szCs w:val="20"/>
                <w:rFonts w:ascii="仿宋_GB2312" w:hAnsi="仿宋_GB2312" w:eastAsia="仿宋_GB2312" w:cs="仿宋_GB2312" w:hint="default"/>
              </w:rPr>
            </w:pPr>
            <w:bookmarkStart w:id="0" w:name="_GoBack"/>
            <w:bookmarkEnd w:id="0"/>
            <w:r>
              <w:rPr>
                <w:vertAlign w:val="baseline"/>
                <w:color w:val="auto"/>
                <w:sz w:val="20"/>
                <w:lang w:val="en-US" w:eastAsia="zh-CN"/>
                <w:szCs w:val="20"/>
                <w:rFonts w:ascii="仿宋_GB2312" w:hAnsi="仿宋_GB2312" w:eastAsia="仿宋_GB2312" w:cs="仿宋_GB2312" w:hint="eastAsia"/>
              </w:rPr>
              <w:t>春秋两季检查</w:t>
            </w:r>
          </w:p>
        </w:tc>
      </w:tr>
      <w:tr w14:paraId="60A5F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c>
          <w:tcPr>
            <w:tcW w:w="855" w:type="dxa"/>
            <w:vAlign w:val="center"/>
          </w:tcPr>
          <w:p w14:paraId="3EA7CAFE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center"/>
              <w:spacing w:line="280" w:lineRule="exact"/>
              <w:rPr>
                <w:vertAlign w:val="baseline"/>
                <w:color w:val="auto"/>
                <w:sz w:val="20"/>
                <w:lang w:val="en-US" w:eastAsia="zh-CN"/>
                <w:szCs w:val="20"/>
                <w:rFonts w:ascii="仿宋_GB2312" w:hAnsi="仿宋_GB2312" w:eastAsia="仿宋_GB2312" w:cs="仿宋_GB2312" w:hint="default"/>
              </w:rPr>
            </w:pPr>
            <w:r>
              <w:rPr>
                <w:vertAlign w:val="baseline"/>
                <w:color w:val="auto"/>
                <w:sz w:val="20"/>
                <w:lang w:val="en-US" w:eastAsia="zh-CN"/>
                <w:szCs w:val="20"/>
                <w:rFonts w:ascii="仿宋_GB2312" w:hAnsi="仿宋_GB2312" w:eastAsia="仿宋_GB2312" w:cs="仿宋_GB2312" w:hint="eastAsia"/>
              </w:rPr>
              <w:t>9</w:t>
            </w:r>
          </w:p>
        </w:tc>
        <w:tc>
          <w:tcPr>
            <w:tcW w:w="1225" w:type="dxa"/>
            <w:vAlign w:val="center"/>
          </w:tcPr>
          <w:p w14:paraId="588AA92A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center"/>
              <w:spacing w:line="280" w:lineRule="exact"/>
              <w:rPr>
                <w:vertAlign w:val="baseline"/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</w:pPr>
            <w:r>
              <w:rPr>
                <w:vertAlign w:val="baseline"/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  <w:t>天门市农业农村局</w:t>
            </w:r>
          </w:p>
        </w:tc>
        <w:tc>
          <w:tcPr>
            <w:tcW w:w="1210" w:type="dxa"/>
            <w:vAlign w:val="center"/>
          </w:tcPr>
          <w:p w14:paraId="451ABCD6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center"/>
              <w:spacing w:line="240" w:lineRule="exact"/>
              <w:rPr>
                <w:vertAlign w:val="baseline"/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</w:pPr>
            <w:r>
              <w:rPr>
                <w:vertAlign w:val="baseline"/>
                <w:color w:val="auto"/>
                <w:sz w:val="20"/>
                <w:lang w:eastAsia="zh-CN"/>
                <w:rFonts w:ascii="仿宋_GB2312" w:hAnsi="仿宋_GB2312" w:eastAsia="仿宋_GB2312" w:cs="仿宋_GB2312" w:hint="eastAsia"/>
              </w:rPr>
              <w:t>天门市农业农村局</w:t>
            </w:r>
          </w:p>
        </w:tc>
        <w:tc>
          <w:tcPr>
            <w:tcW w:w="6860" w:type="dxa"/>
            <w:vAlign w:val="center"/>
            <w:shd w:val="clear" w:color="auto" w:fill="auto"/>
          </w:tcPr>
          <w:p w14:paraId="3AC44967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both"/>
              <w:spacing w:line="280" w:lineRule="exact"/>
              <w:rPr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</w:pPr>
            <w:r>
              <w:rPr>
                <w:color w:val="auto"/>
                <w:sz w:val="20"/>
                <w:lang w:eastAsia="zh-CN"/>
                <w:szCs w:val="20"/>
                <w:rFonts w:ascii="黑体" w:hAnsi="黑体" w:eastAsia="黑体" w:cs="黑体" w:hint="eastAsia"/>
              </w:rPr>
              <w:t>事项：</w:t>
            </w:r>
            <w:r>
              <w:rPr>
                <w:color w:val="auto"/>
                <w:sz w:val="20"/>
                <w:szCs w:val="20"/>
                <w:rFonts w:ascii="仿宋_GB2312" w:hAnsi="仿宋_GB2312" w:eastAsia="仿宋_GB2312" w:cs="仿宋_GB2312" w:hint="eastAsia"/>
              </w:rPr>
              <w:t>农产品种植业专业合作社的农产品生产记录情况</w:t>
            </w:r>
            <w:r>
              <w:rPr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  <w:t>。</w:t>
            </w:r>
          </w:p>
          <w:p w14:paraId="76D44CCC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both"/>
              <w:spacing w:line="280" w:lineRule="exact"/>
              <w:rPr>
                <w:color w:val="auto"/>
                <w:sz w:val="20"/>
                <w:lang w:val="en-US" w:eastAsia="zh-CN"/>
                <w:szCs w:val="20"/>
                <w:rFonts w:ascii="仿宋_GB2312" w:hAnsi="仿宋_GB2312" w:eastAsia="仿宋_GB2312" w:cs="仿宋_GB2312" w:hint="eastAsia"/>
              </w:rPr>
            </w:pPr>
            <w:r>
              <w:rPr>
                <w:color w:val="auto"/>
                <w:sz w:val="20"/>
                <w:lang w:eastAsia="zh-CN"/>
                <w:szCs w:val="20"/>
                <w:rFonts w:ascii="黑体" w:hAnsi="黑体" w:eastAsia="黑体" w:cs="黑体" w:hint="eastAsia"/>
              </w:rPr>
              <w:t>依据：</w:t>
            </w:r>
            <w:r>
              <w:rPr>
                <w:color w:val="auto"/>
                <w:sz w:val="20"/>
                <w:szCs w:val="20"/>
                <w:rFonts w:ascii="仿宋_GB2312" w:hAnsi="仿宋_GB2312" w:eastAsia="仿宋_GB2312" w:cs="仿宋_GB2312" w:hint="eastAsia"/>
              </w:rPr>
              <w:t>《中华人民共和国农产品质量安全法</w:t>
            </w:r>
            <w:r>
              <w:rPr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  <w:t>》。</w:t>
            </w:r>
          </w:p>
        </w:tc>
        <w:tc>
          <w:tcPr>
            <w:tcW w:w="1410" w:type="dxa"/>
            <w:vAlign w:val="center"/>
          </w:tcPr>
          <w:p w14:paraId="24F0BFEA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center"/>
              <w:spacing w:line="280" w:lineRule="exact"/>
              <w:rPr>
                <w:vertAlign w:val="baseline"/>
                <w:color w:val="auto"/>
                <w:sz w:val="20"/>
                <w:szCs w:val="20"/>
                <w:rFonts w:ascii="仿宋_GB2312" w:hAnsi="仿宋_GB2312" w:eastAsia="仿宋_GB2312" w:cs="仿宋_GB2312" w:hint="eastAsia"/>
              </w:rPr>
            </w:pPr>
            <w:r>
              <w:rPr>
                <w:vertAlign w:val="baseline"/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  <w:t>待上级部门统一规定</w:t>
            </w:r>
          </w:p>
        </w:tc>
        <w:tc>
          <w:tcPr>
            <w:tcW w:w="2190" w:type="dxa"/>
            <w:vAlign w:val="center"/>
          </w:tcPr>
          <w:p w14:paraId="6B5441E5">
            <w:pPr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adjustRightInd w:val="1"/>
              <w:snapToGrid w:val="1"/>
              <w:jc w:val="center"/>
              <w:spacing w:line="280" w:lineRule="exact"/>
              <w:rPr>
                <w:vertAlign w:val="baseline"/>
                <w:color w:val="auto"/>
                <w:sz w:val="20"/>
                <w:szCs w:val="20"/>
                <w:rFonts w:ascii="仿宋_GB2312" w:hAnsi="仿宋_GB2312" w:eastAsia="仿宋_GB2312" w:cs="仿宋_GB2312" w:hint="eastAsia"/>
              </w:rPr>
            </w:pPr>
            <w:r>
              <w:rPr>
                <w:vertAlign w:val="baseline"/>
                <w:color w:val="auto"/>
                <w:sz w:val="20"/>
                <w:lang w:eastAsia="zh-CN"/>
                <w:szCs w:val="20"/>
                <w:rFonts w:ascii="仿宋_GB2312" w:hAnsi="仿宋_GB2312" w:eastAsia="仿宋_GB2312" w:cs="仿宋_GB2312" w:hint="eastAsia"/>
              </w:rPr>
              <w:t>每季度例行检查</w:t>
            </w:r>
          </w:p>
        </w:tc>
      </w:tr>
    </w:tbl>
    <w:p w14:paraId="33D0704C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spacing w:line="20" w:lineRule="exact"/>
        <w:rPr>
          <w:sz w:val="32"/>
          <w:szCs w:val="32"/>
        </w:rPr>
      </w:pPr>
    </w:p>
    <w:sectPr>
      <w:docGrid w:type="lines" w:linePitch="312" w:charSpace="0"/>
      <w:pgSz w:w="16838" w:h="11906" w:orient="landscape"/>
      <w:pgMar w:top="1587" w:right="1587" w:bottom="1361" w:left="1587" w:header="851" w:footer="992" w:gutter="0"/>
      <w:cols w:space="0" w:num="1"/>
      <w:rtlGutter w:val="0"/>
    </w:sectPr>
  </w:body>
</w:document>
</file>

<file path=tbak/modified.xml>Tue Feb 25 21:02:47 2025
save:Tue Feb 25 21:03:05 2025

</file>